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356D5" w14:textId="3E3101DF" w:rsidR="00376B47" w:rsidRDefault="00376B47" w:rsidP="00C76EBD">
      <w:pPr>
        <w:jc w:val="center"/>
        <w:rPr>
          <w:b/>
          <w:caps/>
          <w:szCs w:val="24"/>
        </w:rPr>
      </w:pPr>
      <w:bookmarkStart w:id="0" w:name="_Hlk46742330"/>
      <w:bookmarkStart w:id="1" w:name="_Hlk28940907"/>
      <w:r>
        <w:rPr>
          <w:b/>
          <w:caps/>
          <w:szCs w:val="24"/>
        </w:rPr>
        <w:t>soah docket no. 473-21-2237</w:t>
      </w:r>
      <w:r w:rsidR="00BE416C">
        <w:rPr>
          <w:b/>
          <w:caps/>
          <w:szCs w:val="24"/>
        </w:rPr>
        <w:t>.WS</w:t>
      </w:r>
    </w:p>
    <w:p w14:paraId="326B0F25" w14:textId="4268C5A6" w:rsidR="00C76EBD" w:rsidRPr="007204E7" w:rsidRDefault="00376B47" w:rsidP="00C76EBD">
      <w:pPr>
        <w:jc w:val="center"/>
        <w:rPr>
          <w:b/>
          <w:caps/>
          <w:szCs w:val="24"/>
        </w:rPr>
      </w:pPr>
      <w:r>
        <w:rPr>
          <w:b/>
          <w:caps/>
          <w:szCs w:val="24"/>
        </w:rPr>
        <w:t xml:space="preserve">PUc </w:t>
      </w:r>
      <w:r w:rsidR="00C76EBD" w:rsidRPr="009A49E7">
        <w:rPr>
          <w:b/>
          <w:caps/>
          <w:szCs w:val="24"/>
        </w:rPr>
        <w:t xml:space="preserve">DOCKET NO. </w:t>
      </w:r>
      <w:r>
        <w:rPr>
          <w:b/>
          <w:caps/>
          <w:szCs w:val="24"/>
        </w:rPr>
        <w:t>50197</w:t>
      </w:r>
    </w:p>
    <w:bookmarkEnd w:id="0"/>
    <w:p w14:paraId="5030BD3B" w14:textId="77777777" w:rsidR="00C76EBD" w:rsidRPr="007204E7" w:rsidRDefault="00C76EBD" w:rsidP="00C76EBD">
      <w:pPr>
        <w:jc w:val="center"/>
        <w:rPr>
          <w:b/>
        </w:rPr>
      </w:pPr>
    </w:p>
    <w:tbl>
      <w:tblPr>
        <w:tblW w:w="9653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736"/>
        <w:gridCol w:w="4417"/>
      </w:tblGrid>
      <w:tr w:rsidR="00647582" w:rsidRPr="002C21F1" w14:paraId="1EE7A8D1" w14:textId="77777777" w:rsidTr="00D365EC">
        <w:trPr>
          <w:trHeight w:val="1117"/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bookmarkEnd w:id="1"/>
          <w:p w14:paraId="575D3B1C" w14:textId="77777777" w:rsidR="00376B47" w:rsidRDefault="00376B47" w:rsidP="00D365EC">
            <w:pPr>
              <w:tabs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left"/>
              <w:rPr>
                <w:b/>
              </w:rPr>
            </w:pPr>
            <w:r w:rsidRPr="00376B47">
              <w:rPr>
                <w:b/>
              </w:rPr>
              <w:t xml:space="preserve">APPLICATION OF TIMBERCREST PARTNERS LLC FOR AUTHORITY </w:t>
            </w:r>
          </w:p>
          <w:p w14:paraId="3C2BBA71" w14:textId="671979A9" w:rsidR="00647582" w:rsidRPr="003C77FB" w:rsidRDefault="00376B47" w:rsidP="00D365EC">
            <w:pPr>
              <w:tabs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left"/>
              <w:rPr>
                <w:b/>
                <w:bCs/>
              </w:rPr>
            </w:pPr>
            <w:r w:rsidRPr="00376B47">
              <w:rPr>
                <w:b/>
              </w:rPr>
              <w:t>TO CHANGE RATES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14:paraId="749C4741" w14:textId="77777777" w:rsidR="00647582" w:rsidRPr="003C77FB" w:rsidRDefault="00647582" w:rsidP="00CD640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  <w:r w:rsidRPr="003C77FB">
              <w:rPr>
                <w:b/>
                <w:bCs/>
              </w:rPr>
              <w:t>§</w:t>
            </w:r>
          </w:p>
          <w:p w14:paraId="2A669063" w14:textId="77777777" w:rsidR="00647582" w:rsidRDefault="00647582" w:rsidP="00CD640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  <w:r w:rsidRPr="003C77FB">
              <w:rPr>
                <w:b/>
                <w:bCs/>
              </w:rPr>
              <w:t>§</w:t>
            </w:r>
          </w:p>
          <w:p w14:paraId="372B10AC" w14:textId="3B308B12" w:rsidR="00D365EC" w:rsidRPr="003C77FB" w:rsidRDefault="00647582" w:rsidP="00376B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  <w:r w:rsidRPr="005B2A50">
              <w:rPr>
                <w:b/>
                <w:bCs/>
              </w:rPr>
              <w:t>§</w:t>
            </w:r>
          </w:p>
        </w:tc>
        <w:tc>
          <w:tcPr>
            <w:tcW w:w="4417" w:type="dxa"/>
            <w:tcBorders>
              <w:top w:val="nil"/>
              <w:left w:val="nil"/>
              <w:bottom w:val="nil"/>
              <w:right w:val="nil"/>
            </w:tcBorders>
          </w:tcPr>
          <w:p w14:paraId="7A8D6EFC" w14:textId="21708A57" w:rsidR="00647582" w:rsidRPr="003C77FB" w:rsidRDefault="00D811AB" w:rsidP="00CD640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BEFORE THE STATE OFFICE </w:t>
            </w:r>
            <w:r>
              <w:rPr>
                <w:b/>
                <w:bCs/>
              </w:rPr>
              <w:br/>
              <w:t>OF</w:t>
            </w:r>
            <w:r>
              <w:rPr>
                <w:b/>
                <w:bCs/>
              </w:rPr>
              <w:br/>
              <w:t>ADMINISTRATIVE HEARINGS</w:t>
            </w:r>
          </w:p>
        </w:tc>
      </w:tr>
    </w:tbl>
    <w:p w14:paraId="6039F98B" w14:textId="0EC6FF79" w:rsidR="002A6B75" w:rsidRDefault="0061051D" w:rsidP="002A6B75">
      <w:pPr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Commission Staff’s response to Motion to deem rates approved</w:t>
      </w:r>
    </w:p>
    <w:p w14:paraId="5F75F9F3" w14:textId="59E20058" w:rsidR="00097A21" w:rsidRDefault="00097A21" w:rsidP="00097A21"/>
    <w:p w14:paraId="24330319" w14:textId="0EC6CD38" w:rsidR="00CC38BF" w:rsidRDefault="00CC38BF" w:rsidP="00CC38BF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>
        <w:rPr>
          <w:szCs w:val="24"/>
        </w:rPr>
        <w:t>O</w:t>
      </w:r>
      <w:r w:rsidRPr="0063521B">
        <w:rPr>
          <w:szCs w:val="24"/>
        </w:rPr>
        <w:t xml:space="preserve">n </w:t>
      </w:r>
      <w:r w:rsidR="0061051D">
        <w:rPr>
          <w:szCs w:val="24"/>
        </w:rPr>
        <w:t>September 22</w:t>
      </w:r>
      <w:r>
        <w:rPr>
          <w:szCs w:val="24"/>
        </w:rPr>
        <w:t>, 2022</w:t>
      </w:r>
      <w:r w:rsidRPr="0063521B">
        <w:rPr>
          <w:szCs w:val="24"/>
        </w:rPr>
        <w:t>,</w:t>
      </w:r>
      <w:r>
        <w:rPr>
          <w:szCs w:val="24"/>
        </w:rPr>
        <w:t xml:space="preserve"> </w:t>
      </w:r>
      <w:r>
        <w:t xml:space="preserve">Timbercrest Partners LLC (Timbercrest) </w:t>
      </w:r>
      <w:r w:rsidR="0061051D">
        <w:t xml:space="preserve">filed a motion under 16 Texas Administrative Code (TAC) </w:t>
      </w:r>
      <w:r w:rsidR="0061051D" w:rsidRPr="0061051D">
        <w:t>§</w:t>
      </w:r>
      <w:r w:rsidR="00260D9F">
        <w:t xml:space="preserve"> </w:t>
      </w:r>
      <w:r w:rsidR="0061051D">
        <w:t>24.33 to deem rates approved</w:t>
      </w:r>
      <w:r w:rsidR="000F7EA2">
        <w:t xml:space="preserve"> without a hearing and for the case to be dismissed</w:t>
      </w:r>
      <w:r w:rsidR="0061051D">
        <w:t>. T</w:t>
      </w:r>
      <w:r>
        <w:t xml:space="preserve">herefore, </w:t>
      </w:r>
      <w:r w:rsidR="0061051D">
        <w:t xml:space="preserve">pursuant to 16 TAC </w:t>
      </w:r>
      <w:r w:rsidR="0061051D" w:rsidRPr="00CC38BF">
        <w:t>§</w:t>
      </w:r>
      <w:r w:rsidR="0061051D">
        <w:t xml:space="preserve"> 22.78(a), </w:t>
      </w:r>
      <w:r>
        <w:t>this pleading is timely filed</w:t>
      </w:r>
      <w:r w:rsidRPr="0063521B">
        <w:rPr>
          <w:szCs w:val="24"/>
        </w:rPr>
        <w:t>.</w:t>
      </w:r>
    </w:p>
    <w:p w14:paraId="25C9C83A" w14:textId="555208F1" w:rsidR="005D743E" w:rsidRDefault="005D743E" w:rsidP="00114902">
      <w:pPr>
        <w:spacing w:line="360" w:lineRule="auto"/>
      </w:pPr>
    </w:p>
    <w:p w14:paraId="38FED704" w14:textId="589DB77C" w:rsidR="00CC38BF" w:rsidRPr="00CC38BF" w:rsidRDefault="002B257D" w:rsidP="00CC38BF">
      <w:pPr>
        <w:numPr>
          <w:ilvl w:val="0"/>
          <w:numId w:val="27"/>
        </w:numPr>
        <w:spacing w:line="360" w:lineRule="auto"/>
        <w:ind w:left="0" w:firstLine="0"/>
        <w:contextualSpacing/>
        <w:jc w:val="center"/>
        <w:rPr>
          <w:b/>
        </w:rPr>
      </w:pPr>
      <w:r>
        <w:rPr>
          <w:b/>
        </w:rPr>
        <w:t>RESPONSE TO MOTION</w:t>
      </w:r>
    </w:p>
    <w:p w14:paraId="53EEC1D8" w14:textId="374F7C22" w:rsidR="005B6843" w:rsidRDefault="0061051D" w:rsidP="00CC38BF">
      <w:pPr>
        <w:spacing w:line="360" w:lineRule="auto"/>
        <w:ind w:firstLine="720"/>
      </w:pPr>
      <w:r>
        <w:t xml:space="preserve">Staff has reviewed Timbercrest’s motion </w:t>
      </w:r>
      <w:r w:rsidR="000F7EA2">
        <w:t xml:space="preserve">and </w:t>
      </w:r>
      <w:r w:rsidR="00156E78">
        <w:t xml:space="preserve">recommends that </w:t>
      </w:r>
      <w:r w:rsidR="000F7EA2">
        <w:t xml:space="preserve">it be denied to the extent </w:t>
      </w:r>
      <w:r w:rsidR="00A3783E">
        <w:t>that</w:t>
      </w:r>
      <w:r w:rsidR="000F7EA2">
        <w:t xml:space="preserve"> Timbercres</w:t>
      </w:r>
      <w:r w:rsidR="00A3783E">
        <w:t>t</w:t>
      </w:r>
      <w:r w:rsidR="000F7EA2">
        <w:t xml:space="preserve"> </w:t>
      </w:r>
      <w:r w:rsidR="000F7EA2" w:rsidRPr="000F7EA2">
        <w:t>argu</w:t>
      </w:r>
      <w:r w:rsidR="00A3783E">
        <w:t>es</w:t>
      </w:r>
      <w:r w:rsidR="000F7EA2" w:rsidRPr="000F7EA2">
        <w:t xml:space="preserve"> that there is no need to hold a hearing and that the case should be dismissed</w:t>
      </w:r>
      <w:r w:rsidR="00295B85">
        <w:t xml:space="preserve">. </w:t>
      </w:r>
      <w:r w:rsidR="00260D9F">
        <w:t>Specifically, Timbercrest argue</w:t>
      </w:r>
      <w:r w:rsidR="000F7EA2">
        <w:t>s</w:t>
      </w:r>
      <w:r w:rsidR="00260D9F">
        <w:t xml:space="preserve"> that 16 TAC </w:t>
      </w:r>
      <w:r w:rsidR="00260D9F" w:rsidRPr="0061051D">
        <w:t>§</w:t>
      </w:r>
      <w:r w:rsidR="00260D9F">
        <w:t xml:space="preserve"> 24.33(a)(2) only allows rates to be suspended for 265 days and that, under 16 TAC </w:t>
      </w:r>
      <w:r w:rsidR="00260D9F" w:rsidRPr="0061051D">
        <w:t>§</w:t>
      </w:r>
      <w:r w:rsidR="00260D9F">
        <w:t xml:space="preserve"> 24.33(e), the rates are considered approved if no final determination is made after 265 days. As such, Timbercrest argue</w:t>
      </w:r>
      <w:r w:rsidR="000F7EA2">
        <w:t>s</w:t>
      </w:r>
      <w:r w:rsidR="00260D9F">
        <w:t xml:space="preserve"> that its proposed rates should </w:t>
      </w:r>
      <w:r w:rsidR="000F7EA2">
        <w:t>be</w:t>
      </w:r>
      <w:r w:rsidR="00260D9F">
        <w:t xml:space="preserve"> considered approved </w:t>
      </w:r>
      <w:r w:rsidR="000F7EA2">
        <w:t>as of</w:t>
      </w:r>
      <w:r w:rsidR="00260D9F">
        <w:t xml:space="preserve"> August 30, 2021</w:t>
      </w:r>
      <w:r w:rsidR="006924EA">
        <w:t>,</w:t>
      </w:r>
      <w:r w:rsidR="00260D9F">
        <w:t xml:space="preserve"> based on the proposed effective date of December 8, 2020 that was established in Order No. 10 in this docket. Alternatively, Timbercrest argue</w:t>
      </w:r>
      <w:r w:rsidR="000F7EA2">
        <w:t>s</w:t>
      </w:r>
      <w:r w:rsidR="00260D9F">
        <w:t xml:space="preserve"> that if the abatement in this proceeding is considered, then its proposed rates should </w:t>
      </w:r>
      <w:r w:rsidR="000F7EA2">
        <w:t>be</w:t>
      </w:r>
      <w:r w:rsidR="00260D9F">
        <w:t xml:space="preserve"> considered approved at the latest </w:t>
      </w:r>
      <w:r w:rsidR="000F7EA2">
        <w:t>as of</w:t>
      </w:r>
      <w:r w:rsidR="00260D9F">
        <w:t xml:space="preserve"> September 15, 2022, </w:t>
      </w:r>
      <w:r w:rsidR="003C1FBA">
        <w:t xml:space="preserve">which is </w:t>
      </w:r>
      <w:r w:rsidR="00260D9F">
        <w:t>based on the abatement starting with State Office of Administrative Hearings (SOAH) Order No. 3 on July 12, 2021 and ending with the prehearing conference that was held on August 2, 2022.</w:t>
      </w:r>
      <w:r w:rsidR="00777D58">
        <w:rPr>
          <w:rStyle w:val="FootnoteReference"/>
        </w:rPr>
        <w:footnoteReference w:id="1"/>
      </w:r>
      <w:r w:rsidR="00260D9F">
        <w:t xml:space="preserve"> However, through Staff’s own calculations, the proposed rates </w:t>
      </w:r>
      <w:r w:rsidR="000F7EA2">
        <w:t>may be</w:t>
      </w:r>
      <w:r w:rsidR="00260D9F">
        <w:t xml:space="preserve"> considered approved </w:t>
      </w:r>
      <w:r w:rsidR="005B6843">
        <w:t xml:space="preserve">under 16 TAC </w:t>
      </w:r>
      <w:r w:rsidR="005B6843" w:rsidRPr="0061051D">
        <w:t>§</w:t>
      </w:r>
      <w:r w:rsidR="005B6843">
        <w:t xml:space="preserve"> 24.33(e) </w:t>
      </w:r>
      <w:r w:rsidR="000F7EA2">
        <w:t>as of</w:t>
      </w:r>
      <w:r w:rsidR="00260D9F">
        <w:t xml:space="preserve"> September 20, 2022</w:t>
      </w:r>
      <w:r w:rsidR="005B6843">
        <w:t xml:space="preserve">. </w:t>
      </w:r>
    </w:p>
    <w:p w14:paraId="594BA3D2" w14:textId="3E011BFD" w:rsidR="00DB11F5" w:rsidRDefault="005B6843" w:rsidP="000E51E1">
      <w:pPr>
        <w:spacing w:line="360" w:lineRule="auto"/>
        <w:ind w:firstLine="720"/>
      </w:pPr>
      <w:r>
        <w:t xml:space="preserve">Nonetheless, while Staff agrees that Timbercrest has a valid motion for the rates to be deemed approved, Staff does not agree </w:t>
      </w:r>
      <w:r w:rsidR="00845EA4">
        <w:t xml:space="preserve">that </w:t>
      </w:r>
      <w:r>
        <w:t xml:space="preserve">16 TAC </w:t>
      </w:r>
      <w:r w:rsidRPr="0061051D">
        <w:t>§</w:t>
      </w:r>
      <w:r>
        <w:t xml:space="preserve"> 24.33(e) should render the case </w:t>
      </w:r>
      <w:r w:rsidR="003C1FBA">
        <w:t>dismissed</w:t>
      </w:r>
      <w:r>
        <w:t xml:space="preserve">. </w:t>
      </w:r>
      <w:r w:rsidR="00845EA4">
        <w:t>Importantly</w:t>
      </w:r>
      <w:r>
        <w:t xml:space="preserve">, 16 TAC </w:t>
      </w:r>
      <w:r w:rsidRPr="0061051D">
        <w:t>§</w:t>
      </w:r>
      <w:r>
        <w:t xml:space="preserve"> 24.33(e) states that the “approval is subject to the authority of the [C]ommission thereafter to continue a hearing in progress.” </w:t>
      </w:r>
      <w:r w:rsidR="00845EA4">
        <w:t xml:space="preserve">Staff recommends </w:t>
      </w:r>
      <w:r w:rsidR="00777D58">
        <w:t xml:space="preserve">that this docket was referred to SOAH for purposes of </w:t>
      </w:r>
      <w:r w:rsidR="00295D36">
        <w:t xml:space="preserve">having </w:t>
      </w:r>
      <w:r w:rsidR="00777D58">
        <w:t xml:space="preserve">a hearing and there was a prehearing conference on </w:t>
      </w:r>
      <w:r w:rsidR="00777D58">
        <w:lastRenderedPageBreak/>
        <w:t>August 2, 2022 that actually set a hearing on the merits for November 8, 2022</w:t>
      </w:r>
      <w:r w:rsidR="003C1FBA">
        <w:t>.</w:t>
      </w:r>
      <w:r w:rsidR="00295D36">
        <w:rPr>
          <w:rStyle w:val="FootnoteReference"/>
        </w:rPr>
        <w:footnoteReference w:id="2"/>
      </w:r>
      <w:r w:rsidR="00777D58">
        <w:t xml:space="preserve"> </w:t>
      </w:r>
      <w:r w:rsidR="003C1FBA">
        <w:t>As such, the</w:t>
      </w:r>
      <w:r w:rsidR="00777D58">
        <w:t xml:space="preserve"> Commission should retain authority to continue </w:t>
      </w:r>
      <w:r w:rsidR="003C1FBA">
        <w:t>with the scheduled hearing</w:t>
      </w:r>
      <w:r w:rsidR="00777D58">
        <w:t xml:space="preserve"> and ultimately issue a final order on Timbercrest’s application. Specifically, Staff recommends that </w:t>
      </w:r>
      <w:r w:rsidR="00295D36">
        <w:t xml:space="preserve">because </w:t>
      </w:r>
      <w:r w:rsidR="00777D58">
        <w:t>the hearing on the merits will be preceded by the filing of testimony, discovery, and pre-filed exhibits</w:t>
      </w:r>
      <w:r w:rsidR="00295D36">
        <w:t>, this docket is currently in a hearing in progress and has been since August 2, 2022, prior to end of the suspension period.</w:t>
      </w:r>
      <w:r w:rsidR="003F7751">
        <w:t xml:space="preserve"> </w:t>
      </w:r>
      <w:r w:rsidR="00CD7451">
        <w:t xml:space="preserve">In addition, Staff recommends </w:t>
      </w:r>
      <w:r w:rsidR="005829EC">
        <w:t xml:space="preserve">that, pursuant to 16 TAC </w:t>
      </w:r>
      <w:r w:rsidR="005829EC" w:rsidRPr="00CD7451">
        <w:t>§</w:t>
      </w:r>
      <w:r w:rsidR="005829EC">
        <w:t xml:space="preserve"> 24.35(e), </w:t>
      </w:r>
      <w:r w:rsidR="00CD7451">
        <w:t>the Commission retain</w:t>
      </w:r>
      <w:r w:rsidR="005829EC">
        <w:t>s</w:t>
      </w:r>
      <w:r w:rsidR="00CD7451">
        <w:t xml:space="preserve"> authority to order refunds to the extent the final order sets rates lower that those considered approved under </w:t>
      </w:r>
      <w:r w:rsidR="00CD7451" w:rsidRPr="00CD7451">
        <w:t>16 TAC § 24.33(e)</w:t>
      </w:r>
      <w:r w:rsidR="00CD7451">
        <w:t>.</w:t>
      </w:r>
    </w:p>
    <w:p w14:paraId="770F1F96" w14:textId="378588CD" w:rsidR="003C1FBA" w:rsidRDefault="009D2E72" w:rsidP="003C1FBA">
      <w:pPr>
        <w:spacing w:line="360" w:lineRule="auto"/>
        <w:ind w:firstLine="720"/>
      </w:pPr>
      <w:r>
        <w:rPr>
          <w:bCs/>
          <w:szCs w:val="24"/>
        </w:rPr>
        <w:t>Further</w:t>
      </w:r>
      <w:r w:rsidR="003C1FBA" w:rsidRPr="00A65786">
        <w:rPr>
          <w:bCs/>
          <w:szCs w:val="24"/>
        </w:rPr>
        <w:t xml:space="preserve">, Staff </w:t>
      </w:r>
      <w:r w:rsidR="003C1FBA">
        <w:rPr>
          <w:bCs/>
          <w:szCs w:val="24"/>
        </w:rPr>
        <w:t xml:space="preserve">urges the ALJ to consider the unavoidable and detrimental long-term effects that would result from a ruling in favor of Timbercrest’s motion to disregard the existing procedural schedule under 16 TAC </w:t>
      </w:r>
      <w:r w:rsidR="003C1FBA" w:rsidRPr="00CD7451">
        <w:t>§</w:t>
      </w:r>
      <w:r w:rsidR="003C1FBA">
        <w:rPr>
          <w:bCs/>
          <w:szCs w:val="24"/>
        </w:rPr>
        <w:t xml:space="preserve"> 24.33. The first effect of a ruling in favor of Timbercrest’s motion is that Staff would be forced to outright </w:t>
      </w:r>
      <w:r w:rsidR="003C1FBA" w:rsidRPr="00A65786">
        <w:rPr>
          <w:b/>
          <w:i/>
          <w:iCs/>
          <w:szCs w:val="24"/>
        </w:rPr>
        <w:t>deny</w:t>
      </w:r>
      <w:r w:rsidR="003C1FBA">
        <w:rPr>
          <w:bCs/>
          <w:szCs w:val="24"/>
        </w:rPr>
        <w:t xml:space="preserve"> requests for rate changes whenever the 265-day deadline approaches, </w:t>
      </w:r>
      <w:r w:rsidR="003C1FBA" w:rsidRPr="00A65786">
        <w:rPr>
          <w:b/>
          <w:szCs w:val="24"/>
          <w:u w:val="single"/>
        </w:rPr>
        <w:t>even if</w:t>
      </w:r>
      <w:r w:rsidR="003C1FBA">
        <w:rPr>
          <w:bCs/>
          <w:szCs w:val="24"/>
        </w:rPr>
        <w:t xml:space="preserve"> </w:t>
      </w:r>
      <w:r w:rsidR="003C1FBA" w:rsidRPr="00A65786">
        <w:rPr>
          <w:bCs/>
          <w:szCs w:val="24"/>
        </w:rPr>
        <w:t xml:space="preserve">a procedural schedule </w:t>
      </w:r>
      <w:r w:rsidR="003C1FBA">
        <w:rPr>
          <w:bCs/>
          <w:szCs w:val="24"/>
        </w:rPr>
        <w:t>setting</w:t>
      </w:r>
      <w:r w:rsidR="003C1FBA" w:rsidRPr="00A65786">
        <w:rPr>
          <w:bCs/>
          <w:szCs w:val="24"/>
        </w:rPr>
        <w:t xml:space="preserve"> a hearing on the merits has</w:t>
      </w:r>
      <w:r w:rsidR="003C1FBA">
        <w:rPr>
          <w:bCs/>
          <w:szCs w:val="24"/>
        </w:rPr>
        <w:t xml:space="preserve"> </w:t>
      </w:r>
      <w:r w:rsidR="003C1FBA" w:rsidRPr="00A65786">
        <w:rPr>
          <w:bCs/>
          <w:szCs w:val="24"/>
        </w:rPr>
        <w:t xml:space="preserve">been agreed </w:t>
      </w:r>
      <w:r w:rsidR="003C1FBA">
        <w:rPr>
          <w:bCs/>
          <w:szCs w:val="24"/>
        </w:rPr>
        <w:t xml:space="preserve">to and relied upon </w:t>
      </w:r>
      <w:r w:rsidR="003C1FBA" w:rsidRPr="00A65786">
        <w:rPr>
          <w:bCs/>
          <w:szCs w:val="24"/>
        </w:rPr>
        <w:t xml:space="preserve">by the </w:t>
      </w:r>
      <w:r w:rsidR="003C1FBA">
        <w:rPr>
          <w:bCs/>
          <w:szCs w:val="24"/>
        </w:rPr>
        <w:t>both the applicant and Staff. In the immediate instance, Timbercrest</w:t>
      </w:r>
      <w:r w:rsidR="003C1FBA" w:rsidRPr="00A65786">
        <w:rPr>
          <w:bCs/>
          <w:szCs w:val="24"/>
        </w:rPr>
        <w:t xml:space="preserve"> has </w:t>
      </w:r>
      <w:r w:rsidR="003C1FBA">
        <w:rPr>
          <w:bCs/>
          <w:szCs w:val="24"/>
        </w:rPr>
        <w:t>already reaped</w:t>
      </w:r>
      <w:r w:rsidR="003C1FBA" w:rsidRPr="00A65786">
        <w:rPr>
          <w:bCs/>
          <w:szCs w:val="24"/>
        </w:rPr>
        <w:t xml:space="preserve"> the benefit</w:t>
      </w:r>
      <w:r w:rsidR="003C1FBA">
        <w:rPr>
          <w:bCs/>
          <w:szCs w:val="24"/>
        </w:rPr>
        <w:t>s</w:t>
      </w:r>
      <w:r w:rsidR="003C1FBA" w:rsidRPr="00A65786">
        <w:rPr>
          <w:bCs/>
          <w:szCs w:val="24"/>
        </w:rPr>
        <w:t xml:space="preserve"> of </w:t>
      </w:r>
      <w:r w:rsidR="003C1FBA">
        <w:rPr>
          <w:bCs/>
          <w:szCs w:val="24"/>
        </w:rPr>
        <w:t xml:space="preserve">the existing procedural schedule, by filing </w:t>
      </w:r>
      <w:r w:rsidR="003C1FBA" w:rsidRPr="00A65786">
        <w:rPr>
          <w:bCs/>
          <w:szCs w:val="24"/>
        </w:rPr>
        <w:t>its Direct Testimony</w:t>
      </w:r>
      <w:r w:rsidR="003C1FBA">
        <w:rPr>
          <w:bCs/>
          <w:szCs w:val="24"/>
        </w:rPr>
        <w:t xml:space="preserve"> on September 27, 2022. Staff notes that Timbercrest’s testimony was filed subsequent to the 265-day deadline that Timbercrest relies upon in its motion requesting the dismissal of the existing hearing on the merits. From a public policy and public interest standpoint, Timbercrest should have not agreed to bind itself to a</w:t>
      </w:r>
      <w:r w:rsidR="003C1FBA">
        <w:t xml:space="preserve"> procedural schedule if it was concerned about timeliness and the 265-day cutoff contemplated by 16 TAC </w:t>
      </w:r>
      <w:r w:rsidR="003C1FBA" w:rsidRPr="00CD7451">
        <w:t>§</w:t>
      </w:r>
      <w:r w:rsidR="003C1FBA">
        <w:t xml:space="preserve"> 24.33. Respectfully, by prematurely terminating an ongoing hearing on the merits procedural schedule that Timbercrest has explicitly and willingly agreed to, Timbercrest will have benefited unjustly without a proper analysis by the Commission. </w:t>
      </w:r>
    </w:p>
    <w:p w14:paraId="1A3BBC59" w14:textId="18DDF059" w:rsidR="003C1FBA" w:rsidRDefault="003C1FBA" w:rsidP="00BF7CB3">
      <w:pPr>
        <w:spacing w:line="360" w:lineRule="auto"/>
        <w:ind w:firstLine="720"/>
      </w:pPr>
      <w:r>
        <w:t xml:space="preserve">In Staff’s view, Timbercrest should be deemed to have waived its right to invoke the 265-day cutoff provided by 16 TAC </w:t>
      </w:r>
      <w:r w:rsidRPr="00CD7451">
        <w:t>§</w:t>
      </w:r>
      <w:r>
        <w:t xml:space="preserve"> 24.33. Staff argues that parties should not be able to bind themselves and others to a hearing schedule that extends beyond the 265-day deadline contemplated by 16 TAC </w:t>
      </w:r>
      <w:r w:rsidRPr="00CD7451">
        <w:t>§</w:t>
      </w:r>
      <w:r>
        <w:t xml:space="preserve"> 24.33, only to later proclaim that the same schedule should be invalidated as a matter of law. In summary, if the ALJ agrees with Timbercrest’s arguments, it will be setting precedent that has negative long-term impacts against the public interest that will incentivize parties to drag out matters until they reach the 265-day cutoff that Timbercrest is </w:t>
      </w:r>
      <w:r>
        <w:lastRenderedPageBreak/>
        <w:t xml:space="preserve">wishing to invoke here. Such a ruling would effectively preclude Commission Staff from </w:t>
      </w:r>
      <w:r w:rsidRPr="00A65786">
        <w:rPr>
          <w:b/>
          <w:bCs/>
          <w:u w:val="single"/>
        </w:rPr>
        <w:t>ever</w:t>
      </w:r>
      <w:r>
        <w:t xml:space="preserve"> being able to operate beyond the 265-day cutoff provided by 16 TAC </w:t>
      </w:r>
      <w:r w:rsidRPr="00CD7451">
        <w:t>§</w:t>
      </w:r>
      <w:r>
        <w:t xml:space="preserve"> 24.33, and this would be the case even when all parties are </w:t>
      </w:r>
      <w:r w:rsidRPr="00A65786">
        <w:rPr>
          <w:i/>
          <w:iCs/>
        </w:rPr>
        <w:t>explicitly</w:t>
      </w:r>
      <w:r>
        <w:t xml:space="preserve"> </w:t>
      </w:r>
      <w:r w:rsidRPr="00A65786">
        <w:rPr>
          <w:i/>
          <w:iCs/>
        </w:rPr>
        <w:t>willing</w:t>
      </w:r>
      <w:r>
        <w:t xml:space="preserve"> to do so. Future applicants would no longer be able reap the benefit of ever being able to waive the 265-day cutoff by explicitly agreeing to a procedural schedule that happens to extend beyond the 265</w:t>
      </w:r>
      <w:r w:rsidRPr="003C1FBA">
        <w:rPr>
          <w:vertAlign w:val="superscript"/>
        </w:rPr>
        <w:t>th</w:t>
      </w:r>
      <w:r>
        <w:t xml:space="preserve"> day provided by 16 TAC </w:t>
      </w:r>
      <w:r w:rsidRPr="00CD7451">
        <w:t>§</w:t>
      </w:r>
      <w:r>
        <w:t xml:space="preserve"> 24.33. </w:t>
      </w:r>
      <w:r w:rsidR="00A3783E">
        <w:t xml:space="preserve">In </w:t>
      </w:r>
      <w:r>
        <w:t xml:space="preserve">Staff’s view, </w:t>
      </w:r>
      <w:r w:rsidR="00A3783E">
        <w:t>such a</w:t>
      </w:r>
      <w:r>
        <w:t xml:space="preserve"> result would benefit Timbercrest to the detriment of Staff, as well as countless future </w:t>
      </w:r>
      <w:r w:rsidR="007F6F08">
        <w:t>a</w:t>
      </w:r>
      <w:r>
        <w:t xml:space="preserve">pplicants that are similarly situated and do not wish to invoke the deadlines provided by 16 TAC </w:t>
      </w:r>
      <w:r w:rsidRPr="00CD7451">
        <w:t>§</w:t>
      </w:r>
      <w:r>
        <w:t> 24.33.</w:t>
      </w:r>
    </w:p>
    <w:p w14:paraId="155A51F0" w14:textId="3E8B75CA" w:rsidR="00BF7CB3" w:rsidRDefault="00DF7402" w:rsidP="003C1FBA">
      <w:pPr>
        <w:spacing w:line="360" w:lineRule="auto"/>
        <w:ind w:firstLine="720"/>
      </w:pPr>
      <w:r>
        <w:rPr>
          <w:bCs/>
          <w:szCs w:val="24"/>
        </w:rPr>
        <w:t>Lastly</w:t>
      </w:r>
      <w:r w:rsidR="00BF7CB3">
        <w:rPr>
          <w:bCs/>
          <w:szCs w:val="24"/>
        </w:rPr>
        <w:t>, Timbercrest assert</w:t>
      </w:r>
      <w:r w:rsidR="000274BE">
        <w:rPr>
          <w:bCs/>
          <w:szCs w:val="24"/>
        </w:rPr>
        <w:t>ed</w:t>
      </w:r>
      <w:r w:rsidR="00BF7CB3">
        <w:rPr>
          <w:bCs/>
          <w:szCs w:val="24"/>
        </w:rPr>
        <w:t xml:space="preserve"> that Staff is </w:t>
      </w:r>
      <w:r w:rsidR="000274BE">
        <w:rPr>
          <w:bCs/>
          <w:szCs w:val="24"/>
        </w:rPr>
        <w:t xml:space="preserve">essentially </w:t>
      </w:r>
      <w:r w:rsidR="00BF7CB3">
        <w:rPr>
          <w:bCs/>
          <w:szCs w:val="24"/>
        </w:rPr>
        <w:t xml:space="preserve">responsible for the delay and the inability </w:t>
      </w:r>
      <w:r w:rsidR="000274BE">
        <w:rPr>
          <w:bCs/>
          <w:szCs w:val="24"/>
        </w:rPr>
        <w:t xml:space="preserve">for this case </w:t>
      </w:r>
      <w:r w:rsidR="00BF7CB3">
        <w:rPr>
          <w:bCs/>
          <w:szCs w:val="24"/>
        </w:rPr>
        <w:t>to settle during mediation</w:t>
      </w:r>
      <w:r w:rsidR="000274BE">
        <w:rPr>
          <w:bCs/>
          <w:szCs w:val="24"/>
        </w:rPr>
        <w:t>. In response</w:t>
      </w:r>
      <w:r w:rsidR="00BF7CB3">
        <w:rPr>
          <w:bCs/>
          <w:szCs w:val="24"/>
        </w:rPr>
        <w:t>, Staff emphasizes that</w:t>
      </w:r>
      <w:r w:rsidR="000274BE">
        <w:rPr>
          <w:bCs/>
          <w:szCs w:val="24"/>
        </w:rPr>
        <w:t>,</w:t>
      </w:r>
      <w:r w:rsidR="00BF7CB3">
        <w:rPr>
          <w:bCs/>
          <w:szCs w:val="24"/>
        </w:rPr>
        <w:t xml:space="preserve"> until Timbercrest responded to additional </w:t>
      </w:r>
      <w:r w:rsidR="00071641">
        <w:rPr>
          <w:bCs/>
          <w:szCs w:val="24"/>
        </w:rPr>
        <w:t>requests for information (RFI)</w:t>
      </w:r>
      <w:r w:rsidR="00BF7CB3">
        <w:rPr>
          <w:bCs/>
          <w:szCs w:val="24"/>
        </w:rPr>
        <w:t xml:space="preserve"> and filed its Direct Testimony</w:t>
      </w:r>
      <w:r w:rsidR="003A19DE">
        <w:rPr>
          <w:bCs/>
          <w:szCs w:val="24"/>
        </w:rPr>
        <w:t xml:space="preserve">, </w:t>
      </w:r>
      <w:r w:rsidR="00BF7CB3">
        <w:rPr>
          <w:bCs/>
          <w:szCs w:val="24"/>
        </w:rPr>
        <w:t xml:space="preserve">Staff </w:t>
      </w:r>
      <w:r w:rsidR="003A19DE">
        <w:rPr>
          <w:bCs/>
          <w:szCs w:val="24"/>
        </w:rPr>
        <w:t>did not have enough</w:t>
      </w:r>
      <w:r w:rsidR="000274BE">
        <w:rPr>
          <w:bCs/>
          <w:szCs w:val="24"/>
        </w:rPr>
        <w:t xml:space="preserve"> </w:t>
      </w:r>
      <w:r w:rsidR="00BF7CB3">
        <w:rPr>
          <w:bCs/>
          <w:szCs w:val="24"/>
        </w:rPr>
        <w:t xml:space="preserve">information </w:t>
      </w:r>
      <w:r w:rsidR="003A19DE">
        <w:rPr>
          <w:bCs/>
          <w:szCs w:val="24"/>
        </w:rPr>
        <w:t xml:space="preserve">that </w:t>
      </w:r>
      <w:r w:rsidR="000274BE">
        <w:rPr>
          <w:bCs/>
          <w:szCs w:val="24"/>
        </w:rPr>
        <w:t xml:space="preserve">it required </w:t>
      </w:r>
      <w:r w:rsidR="00BF7CB3">
        <w:rPr>
          <w:bCs/>
          <w:szCs w:val="24"/>
        </w:rPr>
        <w:t xml:space="preserve">on certain substantive issues </w:t>
      </w:r>
      <w:r w:rsidR="003A19DE">
        <w:rPr>
          <w:bCs/>
          <w:szCs w:val="24"/>
        </w:rPr>
        <w:t>to</w:t>
      </w:r>
      <w:r w:rsidR="000274BE">
        <w:rPr>
          <w:bCs/>
          <w:szCs w:val="24"/>
        </w:rPr>
        <w:t xml:space="preserve"> comfortably</w:t>
      </w:r>
      <w:r w:rsidR="00BF7CB3">
        <w:rPr>
          <w:bCs/>
          <w:szCs w:val="24"/>
        </w:rPr>
        <w:t xml:space="preserve"> </w:t>
      </w:r>
      <w:r w:rsidR="003A19DE">
        <w:rPr>
          <w:bCs/>
          <w:szCs w:val="24"/>
        </w:rPr>
        <w:t xml:space="preserve">and </w:t>
      </w:r>
      <w:r w:rsidR="00BF7CB3">
        <w:rPr>
          <w:bCs/>
          <w:szCs w:val="24"/>
        </w:rPr>
        <w:t xml:space="preserve">fully negotiate for agreed rates. </w:t>
      </w:r>
      <w:r w:rsidR="00071641">
        <w:rPr>
          <w:bCs/>
          <w:szCs w:val="24"/>
        </w:rPr>
        <w:t>More importantly, Timbercrest admitted in its response to Staff’s 8</w:t>
      </w:r>
      <w:r w:rsidR="00071641" w:rsidRPr="00400DC6">
        <w:rPr>
          <w:bCs/>
          <w:szCs w:val="24"/>
          <w:vertAlign w:val="superscript"/>
        </w:rPr>
        <w:t>th</w:t>
      </w:r>
      <w:r w:rsidR="00071641">
        <w:rPr>
          <w:bCs/>
          <w:szCs w:val="24"/>
        </w:rPr>
        <w:t xml:space="preserve"> RFI that its application and the proposed rates as filed are incorrect based on inadvertent inclusion of certain expenses and use of allocation factors,</w:t>
      </w:r>
      <w:r w:rsidR="00400DC6">
        <w:rPr>
          <w:rStyle w:val="FootnoteReference"/>
          <w:bCs/>
          <w:szCs w:val="24"/>
        </w:rPr>
        <w:footnoteReference w:id="3"/>
      </w:r>
      <w:r w:rsidR="00071641">
        <w:rPr>
          <w:bCs/>
          <w:szCs w:val="24"/>
        </w:rPr>
        <w:t xml:space="preserve"> such that is has filed errata with its Direct Testimony. </w:t>
      </w:r>
      <w:r w:rsidR="00BF7CB3">
        <w:rPr>
          <w:bCs/>
          <w:szCs w:val="24"/>
        </w:rPr>
        <w:t>Because such information was not known to Staff until after mediation ended and the case was set for a hearing on the merits</w:t>
      </w:r>
      <w:r w:rsidR="00071641">
        <w:rPr>
          <w:bCs/>
          <w:szCs w:val="24"/>
        </w:rPr>
        <w:t xml:space="preserve"> and the proposed rates are incorrect pursuant to Timbercrest’s own admission</w:t>
      </w:r>
      <w:r w:rsidR="00AB784E">
        <w:rPr>
          <w:bCs/>
          <w:szCs w:val="24"/>
        </w:rPr>
        <w:t>, Staff respectfully requests that SOAH Order No. 6</w:t>
      </w:r>
      <w:r w:rsidR="0097208D">
        <w:rPr>
          <w:bCs/>
          <w:szCs w:val="24"/>
        </w:rPr>
        <w:t>, setting the hearing on the merits and establishing the procedural schedule, remain in full force and effect</w:t>
      </w:r>
      <w:r w:rsidR="000274BE">
        <w:rPr>
          <w:bCs/>
          <w:szCs w:val="24"/>
        </w:rPr>
        <w:t xml:space="preserve">. </w:t>
      </w:r>
      <w:r w:rsidR="00BF7CB3">
        <w:rPr>
          <w:bCs/>
          <w:szCs w:val="24"/>
        </w:rPr>
        <w:t xml:space="preserve">  </w:t>
      </w:r>
      <w:r w:rsidR="00BF7CB3">
        <w:t xml:space="preserve"> </w:t>
      </w:r>
    </w:p>
    <w:p w14:paraId="274B2530" w14:textId="77777777" w:rsidR="000E51E1" w:rsidRPr="00CC38BF" w:rsidRDefault="000E51E1" w:rsidP="000E51E1">
      <w:pPr>
        <w:spacing w:line="360" w:lineRule="auto"/>
        <w:ind w:firstLine="720"/>
        <w:rPr>
          <w:b/>
          <w:szCs w:val="24"/>
        </w:rPr>
      </w:pPr>
    </w:p>
    <w:p w14:paraId="4453CFDD" w14:textId="77777777" w:rsidR="00CC38BF" w:rsidRPr="00CC38BF" w:rsidRDefault="00CC38BF" w:rsidP="00CC38BF">
      <w:pPr>
        <w:numPr>
          <w:ilvl w:val="0"/>
          <w:numId w:val="27"/>
        </w:numPr>
        <w:spacing w:line="360" w:lineRule="auto"/>
        <w:ind w:left="0" w:firstLine="0"/>
        <w:contextualSpacing/>
        <w:jc w:val="center"/>
        <w:rPr>
          <w:b/>
          <w:szCs w:val="24"/>
        </w:rPr>
      </w:pPr>
      <w:r w:rsidRPr="00CC38BF">
        <w:rPr>
          <w:b/>
          <w:szCs w:val="24"/>
        </w:rPr>
        <w:t>CONCLUSION</w:t>
      </w:r>
    </w:p>
    <w:p w14:paraId="5E5A23EE" w14:textId="4542D9D2" w:rsidR="00CC38BF" w:rsidRPr="00CC38BF" w:rsidRDefault="00CC38BF" w:rsidP="00CC38BF">
      <w:pPr>
        <w:spacing w:line="360" w:lineRule="auto"/>
        <w:ind w:firstLine="720"/>
      </w:pPr>
      <w:bookmarkStart w:id="2" w:name="_Hlk112668704"/>
      <w:r w:rsidRPr="00CC38BF">
        <w:t xml:space="preserve">For the reasons detailed above, Staff </w:t>
      </w:r>
      <w:r w:rsidR="005829EC">
        <w:t>respectfully</w:t>
      </w:r>
      <w:r w:rsidRPr="00CC38BF">
        <w:t xml:space="preserve"> request</w:t>
      </w:r>
      <w:r w:rsidR="005829EC">
        <w:t>s</w:t>
      </w:r>
      <w:r w:rsidRPr="00CC38BF">
        <w:t xml:space="preserve"> the entry of an order </w:t>
      </w:r>
      <w:r w:rsidR="005829EC">
        <w:t xml:space="preserve">denying Timbercrest’s motion to the extent that it argues that there is no need to hold a hearing and that the case </w:t>
      </w:r>
      <w:r w:rsidR="00F31EA5">
        <w:t>should</w:t>
      </w:r>
      <w:r w:rsidR="005829EC">
        <w:t xml:space="preserve"> be dismissed</w:t>
      </w:r>
      <w:r w:rsidR="00F31EA5">
        <w:t>.</w:t>
      </w:r>
    </w:p>
    <w:bookmarkEnd w:id="2"/>
    <w:p w14:paraId="11D40A06" w14:textId="77777777" w:rsidR="00832DFC" w:rsidRDefault="00832DFC" w:rsidP="00114902">
      <w:pPr>
        <w:spacing w:line="360" w:lineRule="auto"/>
      </w:pPr>
    </w:p>
    <w:p w14:paraId="79CDE23E" w14:textId="77777777" w:rsidR="00E447CE" w:rsidRDefault="00E447CE">
      <w:pPr>
        <w:jc w:val="left"/>
      </w:pPr>
      <w:r>
        <w:br w:type="page"/>
      </w:r>
    </w:p>
    <w:p w14:paraId="49133229" w14:textId="088C8688" w:rsidR="00114902" w:rsidRDefault="00114902" w:rsidP="00114902">
      <w:pPr>
        <w:spacing w:line="360" w:lineRule="auto"/>
        <w:rPr>
          <w:szCs w:val="24"/>
        </w:rPr>
      </w:pPr>
      <w:r w:rsidRPr="000B2F7F">
        <w:lastRenderedPageBreak/>
        <w:t>D</w:t>
      </w:r>
      <w:r w:rsidR="000B2F7F">
        <w:t>ate</w:t>
      </w:r>
      <w:r w:rsidRPr="000B2F7F">
        <w:t xml:space="preserve">:  </w:t>
      </w:r>
      <w:r w:rsidR="000B2F7F" w:rsidRPr="000B2F7F">
        <w:rPr>
          <w:szCs w:val="24"/>
        </w:rPr>
        <w:fldChar w:fldCharType="begin"/>
      </w:r>
      <w:r w:rsidR="000B2F7F" w:rsidRPr="000B2F7F">
        <w:rPr>
          <w:szCs w:val="24"/>
        </w:rPr>
        <w:instrText xml:space="preserve"> DATE \@ "MMMM d, yyyy" </w:instrText>
      </w:r>
      <w:r w:rsidR="000B2F7F" w:rsidRPr="000B2F7F">
        <w:rPr>
          <w:szCs w:val="24"/>
        </w:rPr>
        <w:fldChar w:fldCharType="separate"/>
      </w:r>
      <w:r w:rsidR="00B22161">
        <w:rPr>
          <w:noProof/>
          <w:szCs w:val="24"/>
        </w:rPr>
        <w:t>September 29, 2022</w:t>
      </w:r>
      <w:r w:rsidR="000B2F7F" w:rsidRPr="000B2F7F">
        <w:rPr>
          <w:szCs w:val="24"/>
        </w:rPr>
        <w:fldChar w:fldCharType="end"/>
      </w:r>
    </w:p>
    <w:p w14:paraId="1C9467E9" w14:textId="77777777" w:rsidR="003663A3" w:rsidRDefault="007D20DC" w:rsidP="00BE7912">
      <w:pPr>
        <w:pStyle w:val="Normaldouble"/>
        <w:ind w:left="3600" w:firstLine="720"/>
      </w:pPr>
      <w:r>
        <w:t>Respectfully s</w:t>
      </w:r>
      <w:r w:rsidR="003663A3">
        <w:t>ubmitted,</w:t>
      </w:r>
    </w:p>
    <w:p w14:paraId="04632021" w14:textId="77777777" w:rsidR="00C2123A" w:rsidRPr="003F3549" w:rsidRDefault="00C2123A" w:rsidP="00C2123A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69D43FBB" w14:textId="77777777" w:rsidR="00C2123A" w:rsidRPr="003F3549" w:rsidRDefault="00C2123A" w:rsidP="00C2123A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0E9DD1CD" w14:textId="77777777" w:rsidR="00C2123A" w:rsidRPr="003F3549" w:rsidRDefault="00C2123A" w:rsidP="00C2123A"/>
    <w:p w14:paraId="6D3071A5" w14:textId="77777777" w:rsidR="00D90078" w:rsidRPr="00D90078" w:rsidRDefault="00D90078" w:rsidP="00D90078">
      <w:pPr>
        <w:ind w:left="3600" w:firstLine="720"/>
        <w:contextualSpacing/>
        <w:rPr>
          <w:szCs w:val="24"/>
        </w:rPr>
      </w:pPr>
      <w:r w:rsidRPr="00D90078">
        <w:rPr>
          <w:szCs w:val="24"/>
        </w:rPr>
        <w:t>Keith Rogas</w:t>
      </w:r>
    </w:p>
    <w:p w14:paraId="7684BF33" w14:textId="77777777" w:rsidR="00D90078" w:rsidRPr="00D90078" w:rsidRDefault="00D90078" w:rsidP="00D90078">
      <w:pPr>
        <w:contextualSpacing/>
        <w:rPr>
          <w:szCs w:val="24"/>
        </w:rPr>
      </w:pPr>
      <w:r w:rsidRPr="00D90078">
        <w:rPr>
          <w:szCs w:val="24"/>
        </w:rPr>
        <w:tab/>
      </w:r>
      <w:r w:rsidRPr="00D90078">
        <w:rPr>
          <w:szCs w:val="24"/>
        </w:rPr>
        <w:tab/>
      </w:r>
      <w:r w:rsidRPr="00D90078">
        <w:rPr>
          <w:szCs w:val="24"/>
        </w:rPr>
        <w:tab/>
      </w:r>
      <w:r w:rsidRPr="00D90078">
        <w:rPr>
          <w:szCs w:val="24"/>
        </w:rPr>
        <w:tab/>
      </w:r>
      <w:r w:rsidRPr="00D90078">
        <w:rPr>
          <w:szCs w:val="24"/>
        </w:rPr>
        <w:tab/>
      </w:r>
      <w:r w:rsidRPr="00D90078">
        <w:rPr>
          <w:szCs w:val="24"/>
        </w:rPr>
        <w:tab/>
        <w:t>Division Director</w:t>
      </w:r>
    </w:p>
    <w:p w14:paraId="5DA7F5E5" w14:textId="77777777" w:rsidR="00D90078" w:rsidRPr="00D90078" w:rsidRDefault="00D90078" w:rsidP="00D90078">
      <w:pPr>
        <w:contextualSpacing/>
        <w:rPr>
          <w:szCs w:val="24"/>
        </w:rPr>
      </w:pPr>
    </w:p>
    <w:p w14:paraId="09AA1007" w14:textId="77777777" w:rsidR="0098623B" w:rsidRDefault="0098623B" w:rsidP="0098623B">
      <w:pPr>
        <w:ind w:firstLine="4320"/>
        <w:jc w:val="left"/>
        <w:rPr>
          <w:szCs w:val="24"/>
        </w:rPr>
      </w:pPr>
      <w:r>
        <w:rPr>
          <w:szCs w:val="24"/>
        </w:rPr>
        <w:t>Sneha Patel</w:t>
      </w:r>
    </w:p>
    <w:p w14:paraId="5C358D18" w14:textId="77777777" w:rsidR="0098623B" w:rsidRPr="007C5B4F" w:rsidRDefault="0098623B" w:rsidP="0098623B">
      <w:pPr>
        <w:ind w:firstLine="4320"/>
        <w:jc w:val="left"/>
        <w:rPr>
          <w:szCs w:val="24"/>
        </w:rPr>
      </w:pPr>
      <w:r>
        <w:rPr>
          <w:szCs w:val="24"/>
        </w:rPr>
        <w:t>Managing Attorney</w:t>
      </w:r>
    </w:p>
    <w:p w14:paraId="0D72C689" w14:textId="77777777" w:rsidR="0098623B" w:rsidRPr="007C5B4F" w:rsidRDefault="0098623B" w:rsidP="0098623B">
      <w:pPr>
        <w:ind w:firstLine="4320"/>
        <w:jc w:val="left"/>
        <w:rPr>
          <w:szCs w:val="24"/>
        </w:rPr>
      </w:pPr>
    </w:p>
    <w:p w14:paraId="07373011" w14:textId="77777777" w:rsidR="0098623B" w:rsidRPr="007C5B4F" w:rsidRDefault="0098623B" w:rsidP="0098623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6B3BBBCA" w14:textId="2BC9EB7C" w:rsidR="0098623B" w:rsidRPr="00BE416C" w:rsidRDefault="00BE416C" w:rsidP="0098623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  <w:u w:val="single"/>
        </w:rPr>
      </w:pPr>
      <w:r>
        <w:rPr>
          <w:szCs w:val="24"/>
          <w:u w:val="single"/>
        </w:rPr>
        <w:t>/s/ Scott Miles</w:t>
      </w:r>
    </w:p>
    <w:p w14:paraId="6DA01663" w14:textId="77777777" w:rsidR="0098623B" w:rsidRPr="007C5B4F" w:rsidRDefault="0098623B" w:rsidP="0098623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Scott Miles</w:t>
      </w:r>
    </w:p>
    <w:p w14:paraId="3187C449" w14:textId="3238A1BB" w:rsidR="0098623B" w:rsidRDefault="0098623B" w:rsidP="0098623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 xml:space="preserve">State Bar No. </w:t>
      </w:r>
      <w:r>
        <w:rPr>
          <w:szCs w:val="24"/>
        </w:rPr>
        <w:t>24098103</w:t>
      </w:r>
    </w:p>
    <w:p w14:paraId="33243DA5" w14:textId="77777777" w:rsidR="00BE416C" w:rsidRDefault="00BE416C" w:rsidP="0098623B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>
        <w:t xml:space="preserve">Kevin R. Bartz </w:t>
      </w:r>
    </w:p>
    <w:p w14:paraId="41A140AD" w14:textId="0565F2E7" w:rsidR="00BE416C" w:rsidRPr="007C5B4F" w:rsidRDefault="00BE416C" w:rsidP="0098623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t>State Bar No. 24101488</w:t>
      </w:r>
    </w:p>
    <w:p w14:paraId="4081E2C9" w14:textId="77777777" w:rsidR="0098623B" w:rsidRPr="007C5B4F" w:rsidRDefault="0098623B" w:rsidP="0098623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1701 N. Congress Avenue</w:t>
      </w:r>
    </w:p>
    <w:p w14:paraId="51E610AF" w14:textId="77777777" w:rsidR="0098623B" w:rsidRPr="007C5B4F" w:rsidRDefault="0098623B" w:rsidP="0098623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P.O. Box 13326</w:t>
      </w:r>
    </w:p>
    <w:p w14:paraId="021AF759" w14:textId="77777777" w:rsidR="0098623B" w:rsidRPr="007C5B4F" w:rsidRDefault="0098623B" w:rsidP="0098623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Austin, Texas 78711-3326</w:t>
      </w:r>
    </w:p>
    <w:p w14:paraId="5F8FC8C7" w14:textId="77777777" w:rsidR="0098623B" w:rsidRPr="007C5B4F" w:rsidRDefault="0098623B" w:rsidP="0098623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</w:t>
      </w:r>
      <w:r>
        <w:rPr>
          <w:szCs w:val="24"/>
        </w:rPr>
        <w:t>7228</w:t>
      </w:r>
    </w:p>
    <w:p w14:paraId="2A166405" w14:textId="77777777" w:rsidR="0098623B" w:rsidRDefault="0098623B" w:rsidP="0098623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936-7268 (facsimile)</w:t>
      </w:r>
    </w:p>
    <w:p w14:paraId="3807E99C" w14:textId="77777777" w:rsidR="0098623B" w:rsidRDefault="0098623B" w:rsidP="0098623B">
      <w:pPr>
        <w:ind w:left="4320"/>
        <w:rPr>
          <w:szCs w:val="24"/>
        </w:rPr>
      </w:pPr>
      <w:r>
        <w:rPr>
          <w:szCs w:val="24"/>
        </w:rPr>
        <w:t>Scott.Miles</w:t>
      </w:r>
      <w:r w:rsidRPr="007C5B4F">
        <w:rPr>
          <w:szCs w:val="24"/>
        </w:rPr>
        <w:t>@puc.texas.gov</w:t>
      </w:r>
    </w:p>
    <w:p w14:paraId="2AB5EADB" w14:textId="77777777" w:rsidR="00832DFC" w:rsidRDefault="00832DFC" w:rsidP="00376B47">
      <w:pPr>
        <w:jc w:val="center"/>
        <w:rPr>
          <w:b/>
          <w:caps/>
          <w:szCs w:val="24"/>
        </w:rPr>
      </w:pPr>
    </w:p>
    <w:p w14:paraId="2B95774B" w14:textId="77777777" w:rsidR="00832DFC" w:rsidRDefault="00832DFC" w:rsidP="00376B47">
      <w:pPr>
        <w:jc w:val="center"/>
        <w:rPr>
          <w:b/>
          <w:caps/>
          <w:szCs w:val="24"/>
        </w:rPr>
      </w:pPr>
    </w:p>
    <w:p w14:paraId="64A952ED" w14:textId="1FFF98CB" w:rsidR="00376B47" w:rsidRDefault="00376B47" w:rsidP="00376B47">
      <w:pPr>
        <w:jc w:val="center"/>
        <w:rPr>
          <w:b/>
          <w:caps/>
          <w:szCs w:val="24"/>
        </w:rPr>
      </w:pPr>
      <w:r>
        <w:rPr>
          <w:b/>
          <w:caps/>
          <w:szCs w:val="24"/>
        </w:rPr>
        <w:t>soah docket no. 473-21-2237</w:t>
      </w:r>
      <w:r w:rsidR="00BE416C">
        <w:rPr>
          <w:b/>
          <w:caps/>
          <w:szCs w:val="24"/>
        </w:rPr>
        <w:t>.WS</w:t>
      </w:r>
    </w:p>
    <w:p w14:paraId="5D3DE1B4" w14:textId="4EDF49A7" w:rsidR="00C76EBD" w:rsidRPr="007204E7" w:rsidRDefault="00376B47" w:rsidP="00376B47">
      <w:pPr>
        <w:jc w:val="center"/>
        <w:rPr>
          <w:b/>
          <w:caps/>
          <w:szCs w:val="24"/>
        </w:rPr>
      </w:pPr>
      <w:r>
        <w:rPr>
          <w:b/>
          <w:caps/>
          <w:szCs w:val="24"/>
        </w:rPr>
        <w:t xml:space="preserve">PUc </w:t>
      </w:r>
      <w:r w:rsidR="00647582">
        <w:rPr>
          <w:b/>
          <w:caps/>
          <w:szCs w:val="24"/>
        </w:rPr>
        <w:t xml:space="preserve">docket no. </w:t>
      </w:r>
      <w:r>
        <w:rPr>
          <w:b/>
          <w:caps/>
          <w:szCs w:val="24"/>
        </w:rPr>
        <w:t>50197</w:t>
      </w:r>
    </w:p>
    <w:p w14:paraId="71F3F2A2" w14:textId="77777777" w:rsidR="002B5FC0" w:rsidRDefault="002B5FC0" w:rsidP="002220B7">
      <w:pPr>
        <w:pStyle w:val="Normaldouble"/>
        <w:spacing w:line="240" w:lineRule="auto"/>
        <w:jc w:val="center"/>
        <w:rPr>
          <w:b/>
          <w:szCs w:val="24"/>
        </w:rPr>
      </w:pPr>
    </w:p>
    <w:p w14:paraId="36B02A50" w14:textId="3DDDDB80" w:rsidR="002B5FC0" w:rsidRDefault="002B5FC0" w:rsidP="00C325FE">
      <w:pPr>
        <w:keepNext/>
        <w:jc w:val="center"/>
        <w:rPr>
          <w:b/>
          <w:szCs w:val="24"/>
        </w:rPr>
      </w:pPr>
      <w:r w:rsidRPr="00E75855">
        <w:rPr>
          <w:b/>
          <w:szCs w:val="24"/>
        </w:rPr>
        <w:t>CERTIFICATE OF SERVICE</w:t>
      </w:r>
    </w:p>
    <w:p w14:paraId="033A904D" w14:textId="77777777" w:rsidR="00C325FE" w:rsidRPr="00E75855" w:rsidRDefault="00C325FE" w:rsidP="00C325FE">
      <w:pPr>
        <w:keepNext/>
        <w:jc w:val="center"/>
        <w:rPr>
          <w:b/>
          <w:szCs w:val="24"/>
        </w:rPr>
      </w:pPr>
    </w:p>
    <w:p w14:paraId="22DC7500" w14:textId="370D7EA8" w:rsidR="0018219C" w:rsidRDefault="0018219C" w:rsidP="0018219C">
      <w:pPr>
        <w:keepNext/>
        <w:spacing w:line="360" w:lineRule="auto"/>
        <w:ind w:firstLine="720"/>
        <w:rPr>
          <w:szCs w:val="24"/>
        </w:rPr>
      </w:pPr>
      <w:r w:rsidRPr="00CC4FB8">
        <w:rPr>
          <w:szCs w:val="24"/>
        </w:rPr>
        <w:t xml:space="preserve">I certify that, unless otherwise ordered by the presiding officer, notice of the filing of this document was provided to all parties of record on </w:t>
      </w:r>
      <w:r w:rsidR="008438F9" w:rsidRPr="000B2F7F">
        <w:rPr>
          <w:szCs w:val="24"/>
        </w:rPr>
        <w:fldChar w:fldCharType="begin"/>
      </w:r>
      <w:r w:rsidR="008438F9" w:rsidRPr="000B2F7F">
        <w:rPr>
          <w:szCs w:val="24"/>
        </w:rPr>
        <w:instrText xml:space="preserve"> DATE \@ "MMMM d, yyyy" </w:instrText>
      </w:r>
      <w:r w:rsidR="008438F9" w:rsidRPr="000B2F7F">
        <w:rPr>
          <w:szCs w:val="24"/>
        </w:rPr>
        <w:fldChar w:fldCharType="separate"/>
      </w:r>
      <w:r w:rsidR="00B22161">
        <w:rPr>
          <w:noProof/>
          <w:szCs w:val="24"/>
        </w:rPr>
        <w:t>September 29, 2022</w:t>
      </w:r>
      <w:r w:rsidR="008438F9" w:rsidRPr="000B2F7F">
        <w:rPr>
          <w:szCs w:val="24"/>
        </w:rPr>
        <w:fldChar w:fldCharType="end"/>
      </w:r>
      <w:r w:rsidR="008438F9">
        <w:rPr>
          <w:szCs w:val="24"/>
        </w:rPr>
        <w:t xml:space="preserve"> </w:t>
      </w:r>
      <w:r w:rsidRPr="00CC4FB8">
        <w:rPr>
          <w:szCs w:val="24"/>
        </w:rPr>
        <w:t>in accordance with the Order Suspending Rules filed in Project No. 50664.</w:t>
      </w:r>
    </w:p>
    <w:p w14:paraId="7AA44B37" w14:textId="77777777" w:rsidR="00C325FE" w:rsidRDefault="00C325FE" w:rsidP="002B5FC0">
      <w:pPr>
        <w:rPr>
          <w:szCs w:val="24"/>
        </w:rPr>
      </w:pPr>
    </w:p>
    <w:p w14:paraId="221F28E4" w14:textId="10C3C7E5" w:rsidR="0098623B" w:rsidRPr="00BE416C" w:rsidRDefault="00BE416C" w:rsidP="0098623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  <w:u w:val="single"/>
        </w:rPr>
      </w:pPr>
      <w:r>
        <w:rPr>
          <w:szCs w:val="24"/>
          <w:u w:val="single"/>
        </w:rPr>
        <w:t>/s/ Scott Miles</w:t>
      </w:r>
    </w:p>
    <w:p w14:paraId="207075F7" w14:textId="77777777" w:rsidR="0098623B" w:rsidRPr="007C5B4F" w:rsidRDefault="0098623B" w:rsidP="0098623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Scott Miles</w:t>
      </w:r>
    </w:p>
    <w:p w14:paraId="51699632" w14:textId="749521EA" w:rsidR="00BD05AA" w:rsidRPr="002B5FC0" w:rsidRDefault="00BD05AA" w:rsidP="003310B2">
      <w:pPr>
        <w:ind w:left="4320"/>
        <w:rPr>
          <w:szCs w:val="24"/>
        </w:rPr>
      </w:pPr>
    </w:p>
    <w:sectPr w:rsidR="00BD05AA" w:rsidRPr="002B5FC0" w:rsidSect="003A72E4">
      <w:headerReference w:type="default" r:id="rId7"/>
      <w:pgSz w:w="12240" w:h="15840"/>
      <w:pgMar w:top="1440" w:right="1440" w:bottom="1440" w:left="144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AF5CF" w14:textId="77777777" w:rsidR="009D1E68" w:rsidRDefault="009D1E68" w:rsidP="00114902">
      <w:r>
        <w:separator/>
      </w:r>
    </w:p>
  </w:endnote>
  <w:endnote w:type="continuationSeparator" w:id="0">
    <w:p w14:paraId="12EC8295" w14:textId="77777777" w:rsidR="009D1E68" w:rsidRDefault="009D1E68" w:rsidP="00114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etter Gothic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A5182" w14:textId="77777777" w:rsidR="009D1E68" w:rsidRDefault="009D1E68" w:rsidP="00114902">
      <w:r>
        <w:separator/>
      </w:r>
    </w:p>
  </w:footnote>
  <w:footnote w:type="continuationSeparator" w:id="0">
    <w:p w14:paraId="7D2328B7" w14:textId="77777777" w:rsidR="009D1E68" w:rsidRDefault="009D1E68" w:rsidP="00114902">
      <w:r>
        <w:continuationSeparator/>
      </w:r>
    </w:p>
  </w:footnote>
  <w:footnote w:id="1">
    <w:p w14:paraId="0779F8EA" w14:textId="764795A2" w:rsidR="00777D58" w:rsidRDefault="00777D58" w:rsidP="00400DC6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 xml:space="preserve">See </w:t>
      </w:r>
      <w:r>
        <w:t>SOAH Order No. 5 Requiring Filing</w:t>
      </w:r>
      <w:r w:rsidR="00295D36">
        <w:t xml:space="preserve"> (Sep. 1, 2022) (indicating</w:t>
      </w:r>
      <w:r>
        <w:t xml:space="preserve"> the ALJ lifted the abatement at the prehearing conference</w:t>
      </w:r>
      <w:r w:rsidR="00295D36">
        <w:t>)</w:t>
      </w:r>
      <w:r>
        <w:t xml:space="preserve">. </w:t>
      </w:r>
    </w:p>
  </w:footnote>
  <w:footnote w:id="2">
    <w:p w14:paraId="6CB50E9E" w14:textId="14222B3C" w:rsidR="00295D36" w:rsidRDefault="00295D36" w:rsidP="00400DC6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>Id</w:t>
      </w:r>
      <w:r>
        <w:t xml:space="preserve">. </w:t>
      </w:r>
    </w:p>
  </w:footnote>
  <w:footnote w:id="3">
    <w:p w14:paraId="7431D4D6" w14:textId="506FF5C4" w:rsidR="00400DC6" w:rsidRDefault="00400DC6" w:rsidP="00400DC6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</w:t>
      </w:r>
      <w:r w:rsidRPr="00400DC6">
        <w:t>Timbercrest Partners LLC's Response to Eighth RFIs</w:t>
      </w:r>
      <w:r>
        <w:t xml:space="preserve"> at Responses to Staff 8-10 through Staff 8-14 (Sep. 19, 2022).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0D4DB" w14:textId="77777777" w:rsidR="003A72E4" w:rsidRPr="008F436A" w:rsidRDefault="003A72E4" w:rsidP="003A72E4">
    <w:pPr>
      <w:pStyle w:val="Header"/>
      <w:jc w:val="right"/>
      <w:rPr>
        <w:b/>
        <w:bCs/>
        <w:sz w:val="20"/>
      </w:rPr>
    </w:pPr>
    <w:r w:rsidRPr="00BF50E2">
      <w:rPr>
        <w:b/>
        <w:bCs/>
        <w:sz w:val="20"/>
      </w:rPr>
      <w:t xml:space="preserve">Page </w:t>
    </w:r>
    <w:r w:rsidRPr="00BF50E2">
      <w:rPr>
        <w:b/>
        <w:bCs/>
        <w:sz w:val="20"/>
      </w:rPr>
      <w:fldChar w:fldCharType="begin"/>
    </w:r>
    <w:r w:rsidRPr="00BF50E2">
      <w:rPr>
        <w:b/>
        <w:bCs/>
        <w:sz w:val="20"/>
      </w:rPr>
      <w:instrText xml:space="preserve"> PAGE </w:instrText>
    </w:r>
    <w:r w:rsidRPr="00BF50E2">
      <w:rPr>
        <w:b/>
        <w:bCs/>
        <w:sz w:val="20"/>
      </w:rPr>
      <w:fldChar w:fldCharType="separate"/>
    </w:r>
    <w:r>
      <w:rPr>
        <w:b/>
        <w:bCs/>
        <w:sz w:val="20"/>
      </w:rPr>
      <w:t>2</w:t>
    </w:r>
    <w:r w:rsidRPr="00BF50E2">
      <w:rPr>
        <w:b/>
        <w:bCs/>
        <w:sz w:val="20"/>
      </w:rPr>
      <w:fldChar w:fldCharType="end"/>
    </w:r>
    <w:r w:rsidRPr="00BF50E2">
      <w:rPr>
        <w:b/>
        <w:bCs/>
        <w:sz w:val="20"/>
      </w:rPr>
      <w:t xml:space="preserve"> of </w:t>
    </w:r>
    <w:r w:rsidRPr="00BF50E2">
      <w:rPr>
        <w:b/>
        <w:bCs/>
        <w:sz w:val="20"/>
      </w:rPr>
      <w:fldChar w:fldCharType="begin"/>
    </w:r>
    <w:r w:rsidRPr="00BF50E2">
      <w:rPr>
        <w:b/>
        <w:bCs/>
        <w:sz w:val="20"/>
      </w:rPr>
      <w:instrText xml:space="preserve"> NUMPAGES  </w:instrText>
    </w:r>
    <w:r w:rsidRPr="00BF50E2">
      <w:rPr>
        <w:b/>
        <w:bCs/>
        <w:sz w:val="20"/>
      </w:rPr>
      <w:fldChar w:fldCharType="separate"/>
    </w:r>
    <w:r>
      <w:rPr>
        <w:b/>
        <w:bCs/>
        <w:sz w:val="20"/>
      </w:rPr>
      <w:t>3</w:t>
    </w:r>
    <w:r w:rsidRPr="00BF50E2">
      <w:rPr>
        <w:b/>
        <w:bCs/>
        <w:sz w:val="20"/>
      </w:rPr>
      <w:fldChar w:fldCharType="end"/>
    </w:r>
  </w:p>
  <w:p w14:paraId="3EBCC7A1" w14:textId="77777777" w:rsidR="003A72E4" w:rsidRDefault="003A72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8935C"/>
    <w:multiLevelType w:val="singleLevel"/>
    <w:tmpl w:val="2B73D40A"/>
    <w:lvl w:ilvl="0">
      <w:start w:val="4"/>
      <w:numFmt w:val="lowerLetter"/>
      <w:lvlText w:val="%1."/>
      <w:lvlJc w:val="left"/>
      <w:pPr>
        <w:tabs>
          <w:tab w:val="num" w:pos="720"/>
        </w:tabs>
        <w:ind w:left="2088" w:hanging="720"/>
      </w:pPr>
      <w:rPr>
        <w:rFonts w:cs="Times New Roman"/>
        <w:snapToGrid/>
        <w:spacing w:val="-3"/>
        <w:sz w:val="23"/>
        <w:szCs w:val="23"/>
      </w:rPr>
    </w:lvl>
  </w:abstractNum>
  <w:abstractNum w:abstractNumId="1" w15:restartNumberingAfterBreak="0">
    <w:nsid w:val="032963F4"/>
    <w:multiLevelType w:val="hybridMultilevel"/>
    <w:tmpl w:val="FE56D47A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4836FAA"/>
    <w:multiLevelType w:val="singleLevel"/>
    <w:tmpl w:val="3AE38AB1"/>
    <w:lvl w:ilvl="0">
      <w:start w:val="1"/>
      <w:numFmt w:val="decimal"/>
      <w:lvlText w:val="%1."/>
      <w:lvlJc w:val="left"/>
      <w:pPr>
        <w:tabs>
          <w:tab w:val="num" w:pos="720"/>
        </w:tabs>
        <w:ind w:firstLine="720"/>
      </w:pPr>
      <w:rPr>
        <w:rFonts w:cs="Times New Roman"/>
        <w:snapToGrid/>
        <w:spacing w:val="-3"/>
        <w:sz w:val="23"/>
        <w:szCs w:val="23"/>
      </w:rPr>
    </w:lvl>
  </w:abstractNum>
  <w:abstractNum w:abstractNumId="3" w15:restartNumberingAfterBreak="0">
    <w:nsid w:val="059E7134"/>
    <w:multiLevelType w:val="singleLevel"/>
    <w:tmpl w:val="33A9A8AC"/>
    <w:lvl w:ilvl="0">
      <w:start w:val="1"/>
      <w:numFmt w:val="lowerLetter"/>
      <w:lvlText w:val="%1."/>
      <w:lvlJc w:val="left"/>
      <w:pPr>
        <w:tabs>
          <w:tab w:val="num" w:pos="648"/>
        </w:tabs>
        <w:ind w:left="2088" w:hanging="648"/>
      </w:pPr>
      <w:rPr>
        <w:rFonts w:cs="Times New Roman"/>
        <w:snapToGrid/>
        <w:spacing w:val="-2"/>
        <w:sz w:val="23"/>
        <w:szCs w:val="23"/>
      </w:rPr>
    </w:lvl>
  </w:abstractNum>
  <w:abstractNum w:abstractNumId="4" w15:restartNumberingAfterBreak="0">
    <w:nsid w:val="086B2A07"/>
    <w:multiLevelType w:val="singleLevel"/>
    <w:tmpl w:val="0BD67DE4"/>
    <w:lvl w:ilvl="0">
      <w:start w:val="1"/>
      <w:numFmt w:val="lowerLetter"/>
      <w:lvlText w:val="%1.)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09123AE1"/>
    <w:multiLevelType w:val="hybridMultilevel"/>
    <w:tmpl w:val="1FCE6218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 w15:restartNumberingAfterBreak="0">
    <w:nsid w:val="137649C1"/>
    <w:multiLevelType w:val="hybridMultilevel"/>
    <w:tmpl w:val="658ADC7C"/>
    <w:lvl w:ilvl="0" w:tplc="AD087DB0">
      <w:start w:val="1"/>
      <w:numFmt w:val="decimal"/>
      <w:lvlText w:val="(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" w15:restartNumberingAfterBreak="0">
    <w:nsid w:val="19EA5C5E"/>
    <w:multiLevelType w:val="hybridMultilevel"/>
    <w:tmpl w:val="8FA673CA"/>
    <w:lvl w:ilvl="0" w:tplc="04090017">
      <w:start w:val="1"/>
      <w:numFmt w:val="lowerLetter"/>
      <w:lvlText w:val="%1)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8" w15:restartNumberingAfterBreak="0">
    <w:nsid w:val="1B4D057D"/>
    <w:multiLevelType w:val="hybridMultilevel"/>
    <w:tmpl w:val="689810E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D254D7"/>
    <w:multiLevelType w:val="singleLevel"/>
    <w:tmpl w:val="E96C8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 w15:restartNumberingAfterBreak="0">
    <w:nsid w:val="3B560894"/>
    <w:multiLevelType w:val="hybridMultilevel"/>
    <w:tmpl w:val="69A0A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57414E"/>
    <w:multiLevelType w:val="hybridMultilevel"/>
    <w:tmpl w:val="38E6556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C0B3E15"/>
    <w:multiLevelType w:val="hybridMultilevel"/>
    <w:tmpl w:val="DD325EE6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446460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4A76B50"/>
    <w:multiLevelType w:val="multilevel"/>
    <w:tmpl w:val="3B801A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D306E89"/>
    <w:multiLevelType w:val="hybridMultilevel"/>
    <w:tmpl w:val="8960B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A3780C"/>
    <w:multiLevelType w:val="hybridMultilevel"/>
    <w:tmpl w:val="F3CC8AA0"/>
    <w:lvl w:ilvl="0" w:tplc="F9CA7F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D7E883CE">
      <w:start w:val="3"/>
      <w:numFmt w:val="upperRoman"/>
      <w:lvlText w:val="%2."/>
      <w:lvlJc w:val="righ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7673BA"/>
    <w:multiLevelType w:val="hybridMultilevel"/>
    <w:tmpl w:val="CB2E35F2"/>
    <w:lvl w:ilvl="0" w:tplc="3D764D38">
      <w:start w:val="1"/>
      <w:numFmt w:val="lowerLetter"/>
      <w:lvlText w:val="%1.)"/>
      <w:lvlJc w:val="left"/>
      <w:pPr>
        <w:tabs>
          <w:tab w:val="num" w:pos="2250"/>
        </w:tabs>
        <w:ind w:left="2250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25"/>
        </w:tabs>
        <w:ind w:left="29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45"/>
        </w:tabs>
        <w:ind w:left="36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65"/>
        </w:tabs>
        <w:ind w:left="43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85"/>
        </w:tabs>
        <w:ind w:left="50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05"/>
        </w:tabs>
        <w:ind w:left="58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25"/>
        </w:tabs>
        <w:ind w:left="65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45"/>
        </w:tabs>
        <w:ind w:left="72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65"/>
        </w:tabs>
        <w:ind w:left="7965" w:hanging="180"/>
      </w:pPr>
    </w:lvl>
  </w:abstractNum>
  <w:abstractNum w:abstractNumId="18" w15:restartNumberingAfterBreak="0">
    <w:nsid w:val="52F83753"/>
    <w:multiLevelType w:val="hybridMultilevel"/>
    <w:tmpl w:val="7E66ABB6"/>
    <w:lvl w:ilvl="0" w:tplc="D27A262A">
      <w:start w:val="1"/>
      <w:numFmt w:val="lowerLetter"/>
      <w:lvlText w:val="(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9" w15:restartNumberingAfterBreak="0">
    <w:nsid w:val="5A291838"/>
    <w:multiLevelType w:val="hybridMultilevel"/>
    <w:tmpl w:val="AE94131E"/>
    <w:lvl w:ilvl="0" w:tplc="29445D2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5FC716AC"/>
    <w:multiLevelType w:val="hybridMultilevel"/>
    <w:tmpl w:val="28023928"/>
    <w:lvl w:ilvl="0" w:tplc="15782328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688F70EE"/>
    <w:multiLevelType w:val="hybridMultilevel"/>
    <w:tmpl w:val="778488F6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6C6F1C1F"/>
    <w:multiLevelType w:val="hybridMultilevel"/>
    <w:tmpl w:val="18E2F776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3" w15:restartNumberingAfterBreak="0">
    <w:nsid w:val="7361301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746F251D"/>
    <w:multiLevelType w:val="hybridMultilevel"/>
    <w:tmpl w:val="E40C1B64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" w15:restartNumberingAfterBreak="0">
    <w:nsid w:val="74C905CF"/>
    <w:multiLevelType w:val="multilevel"/>
    <w:tmpl w:val="EA22B1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280" w:hanging="1800"/>
      </w:pPr>
      <w:rPr>
        <w:rFonts w:hint="default"/>
      </w:rPr>
    </w:lvl>
  </w:abstractNum>
  <w:abstractNum w:abstractNumId="26" w15:restartNumberingAfterBreak="0">
    <w:nsid w:val="77060333"/>
    <w:multiLevelType w:val="hybridMultilevel"/>
    <w:tmpl w:val="97BA5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7"/>
  </w:num>
  <w:num w:numId="4">
    <w:abstractNumId w:val="14"/>
  </w:num>
  <w:num w:numId="5">
    <w:abstractNumId w:val="25"/>
  </w:num>
  <w:num w:numId="6">
    <w:abstractNumId w:val="18"/>
  </w:num>
  <w:num w:numId="7">
    <w:abstractNumId w:val="10"/>
  </w:num>
  <w:num w:numId="8">
    <w:abstractNumId w:val="21"/>
  </w:num>
  <w:num w:numId="9">
    <w:abstractNumId w:val="15"/>
  </w:num>
  <w:num w:numId="10">
    <w:abstractNumId w:val="12"/>
  </w:num>
  <w:num w:numId="11">
    <w:abstractNumId w:val="24"/>
  </w:num>
  <w:num w:numId="12">
    <w:abstractNumId w:val="1"/>
  </w:num>
  <w:num w:numId="13">
    <w:abstractNumId w:val="26"/>
  </w:num>
  <w:num w:numId="14">
    <w:abstractNumId w:val="6"/>
  </w:num>
  <w:num w:numId="15">
    <w:abstractNumId w:val="5"/>
  </w:num>
  <w:num w:numId="16">
    <w:abstractNumId w:val="22"/>
  </w:num>
  <w:num w:numId="17">
    <w:abstractNumId w:val="7"/>
  </w:num>
  <w:num w:numId="18">
    <w:abstractNumId w:val="13"/>
  </w:num>
  <w:num w:numId="19">
    <w:abstractNumId w:val="23"/>
  </w:num>
  <w:num w:numId="20">
    <w:abstractNumId w:val="2"/>
  </w:num>
  <w:num w:numId="21">
    <w:abstractNumId w:val="3"/>
  </w:num>
  <w:num w:numId="22">
    <w:abstractNumId w:val="0"/>
  </w:num>
  <w:num w:numId="23">
    <w:abstractNumId w:val="11"/>
  </w:num>
  <w:num w:numId="24">
    <w:abstractNumId w:val="8"/>
  </w:num>
  <w:num w:numId="25">
    <w:abstractNumId w:val="19"/>
  </w:num>
  <w:num w:numId="26">
    <w:abstractNumId w:val="20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ECE"/>
    <w:rsid w:val="00003F95"/>
    <w:rsid w:val="00005F4A"/>
    <w:rsid w:val="000178EF"/>
    <w:rsid w:val="000240B6"/>
    <w:rsid w:val="00024F37"/>
    <w:rsid w:val="000274BE"/>
    <w:rsid w:val="0004204F"/>
    <w:rsid w:val="00042F5D"/>
    <w:rsid w:val="000542A7"/>
    <w:rsid w:val="000643CE"/>
    <w:rsid w:val="00066BC9"/>
    <w:rsid w:val="00071641"/>
    <w:rsid w:val="00073097"/>
    <w:rsid w:val="00084954"/>
    <w:rsid w:val="00085B29"/>
    <w:rsid w:val="0008768A"/>
    <w:rsid w:val="00097A21"/>
    <w:rsid w:val="000B255F"/>
    <w:rsid w:val="000B2F7F"/>
    <w:rsid w:val="000B3BA0"/>
    <w:rsid w:val="000B4451"/>
    <w:rsid w:val="000B693B"/>
    <w:rsid w:val="000B7474"/>
    <w:rsid w:val="000C52FF"/>
    <w:rsid w:val="000D377A"/>
    <w:rsid w:val="000D3F7E"/>
    <w:rsid w:val="000D4261"/>
    <w:rsid w:val="000E51E1"/>
    <w:rsid w:val="000F341D"/>
    <w:rsid w:val="000F7236"/>
    <w:rsid w:val="000F7EA2"/>
    <w:rsid w:val="00107CA8"/>
    <w:rsid w:val="00114902"/>
    <w:rsid w:val="00115F46"/>
    <w:rsid w:val="00125181"/>
    <w:rsid w:val="001404B9"/>
    <w:rsid w:val="00143CAF"/>
    <w:rsid w:val="001454DC"/>
    <w:rsid w:val="00147B9B"/>
    <w:rsid w:val="0015166A"/>
    <w:rsid w:val="001540F6"/>
    <w:rsid w:val="00156E78"/>
    <w:rsid w:val="0015751E"/>
    <w:rsid w:val="00161281"/>
    <w:rsid w:val="00161F0B"/>
    <w:rsid w:val="001700BD"/>
    <w:rsid w:val="00176570"/>
    <w:rsid w:val="0018219C"/>
    <w:rsid w:val="00186554"/>
    <w:rsid w:val="001911B2"/>
    <w:rsid w:val="00191336"/>
    <w:rsid w:val="00194845"/>
    <w:rsid w:val="001A773E"/>
    <w:rsid w:val="001A793D"/>
    <w:rsid w:val="001C308C"/>
    <w:rsid w:val="001D1F16"/>
    <w:rsid w:val="001D3A8E"/>
    <w:rsid w:val="001D3CEF"/>
    <w:rsid w:val="001E6AEE"/>
    <w:rsid w:val="001F199F"/>
    <w:rsid w:val="001F2DA9"/>
    <w:rsid w:val="002220B7"/>
    <w:rsid w:val="002410DD"/>
    <w:rsid w:val="00244B22"/>
    <w:rsid w:val="002533E7"/>
    <w:rsid w:val="0025677E"/>
    <w:rsid w:val="00260D9F"/>
    <w:rsid w:val="00263FEF"/>
    <w:rsid w:val="00271057"/>
    <w:rsid w:val="002722ED"/>
    <w:rsid w:val="00281562"/>
    <w:rsid w:val="00292436"/>
    <w:rsid w:val="00295B85"/>
    <w:rsid w:val="00295D36"/>
    <w:rsid w:val="002A6B75"/>
    <w:rsid w:val="002B257D"/>
    <w:rsid w:val="002B2DB7"/>
    <w:rsid w:val="002B4237"/>
    <w:rsid w:val="002B5F0C"/>
    <w:rsid w:val="002B5FC0"/>
    <w:rsid w:val="002C04F9"/>
    <w:rsid w:val="002D0436"/>
    <w:rsid w:val="002D3E8D"/>
    <w:rsid w:val="002F70E5"/>
    <w:rsid w:val="00301B7B"/>
    <w:rsid w:val="00302C02"/>
    <w:rsid w:val="0030320C"/>
    <w:rsid w:val="00305F2D"/>
    <w:rsid w:val="00320534"/>
    <w:rsid w:val="003250D7"/>
    <w:rsid w:val="00326C7D"/>
    <w:rsid w:val="0033030E"/>
    <w:rsid w:val="003310B2"/>
    <w:rsid w:val="003420FD"/>
    <w:rsid w:val="00346093"/>
    <w:rsid w:val="00350258"/>
    <w:rsid w:val="0035123D"/>
    <w:rsid w:val="00351719"/>
    <w:rsid w:val="00357906"/>
    <w:rsid w:val="00360ACA"/>
    <w:rsid w:val="00360DEF"/>
    <w:rsid w:val="003663A3"/>
    <w:rsid w:val="003743A8"/>
    <w:rsid w:val="00376B47"/>
    <w:rsid w:val="00377A73"/>
    <w:rsid w:val="00382094"/>
    <w:rsid w:val="00392C1D"/>
    <w:rsid w:val="003A04E0"/>
    <w:rsid w:val="003A1620"/>
    <w:rsid w:val="003A19DE"/>
    <w:rsid w:val="003A72E4"/>
    <w:rsid w:val="003B7CE4"/>
    <w:rsid w:val="003C1FBA"/>
    <w:rsid w:val="003D28D0"/>
    <w:rsid w:val="003D40DB"/>
    <w:rsid w:val="003D4BAE"/>
    <w:rsid w:val="003E5280"/>
    <w:rsid w:val="003E6D59"/>
    <w:rsid w:val="003F43DF"/>
    <w:rsid w:val="003F523B"/>
    <w:rsid w:val="003F74A4"/>
    <w:rsid w:val="003F7751"/>
    <w:rsid w:val="00400DC6"/>
    <w:rsid w:val="004076BF"/>
    <w:rsid w:val="004101C3"/>
    <w:rsid w:val="00414C27"/>
    <w:rsid w:val="004319F2"/>
    <w:rsid w:val="00441658"/>
    <w:rsid w:val="00444D6F"/>
    <w:rsid w:val="00451071"/>
    <w:rsid w:val="004521E4"/>
    <w:rsid w:val="004571F7"/>
    <w:rsid w:val="004572E3"/>
    <w:rsid w:val="00464D40"/>
    <w:rsid w:val="004726E2"/>
    <w:rsid w:val="004730AB"/>
    <w:rsid w:val="0047336A"/>
    <w:rsid w:val="004816DA"/>
    <w:rsid w:val="0048241E"/>
    <w:rsid w:val="004A6FC6"/>
    <w:rsid w:val="004A7C63"/>
    <w:rsid w:val="004B059E"/>
    <w:rsid w:val="004B2E4E"/>
    <w:rsid w:val="004B314E"/>
    <w:rsid w:val="004B326D"/>
    <w:rsid w:val="004B4CA2"/>
    <w:rsid w:val="004B5AC4"/>
    <w:rsid w:val="004B74C7"/>
    <w:rsid w:val="004C2045"/>
    <w:rsid w:val="004D0426"/>
    <w:rsid w:val="004D49C2"/>
    <w:rsid w:val="004D6115"/>
    <w:rsid w:val="004D6660"/>
    <w:rsid w:val="004F3D82"/>
    <w:rsid w:val="004F777B"/>
    <w:rsid w:val="005056CF"/>
    <w:rsid w:val="00514FA9"/>
    <w:rsid w:val="005314C1"/>
    <w:rsid w:val="00534653"/>
    <w:rsid w:val="00566C73"/>
    <w:rsid w:val="005679E7"/>
    <w:rsid w:val="00576239"/>
    <w:rsid w:val="005829EC"/>
    <w:rsid w:val="00591F6C"/>
    <w:rsid w:val="005A3AA5"/>
    <w:rsid w:val="005A7821"/>
    <w:rsid w:val="005B03E8"/>
    <w:rsid w:val="005B2903"/>
    <w:rsid w:val="005B3C83"/>
    <w:rsid w:val="005B6843"/>
    <w:rsid w:val="005C4C43"/>
    <w:rsid w:val="005D1523"/>
    <w:rsid w:val="005D1D1D"/>
    <w:rsid w:val="005D743E"/>
    <w:rsid w:val="005E412D"/>
    <w:rsid w:val="005E4E3A"/>
    <w:rsid w:val="005F0C61"/>
    <w:rsid w:val="005F4DF4"/>
    <w:rsid w:val="0061051D"/>
    <w:rsid w:val="00614631"/>
    <w:rsid w:val="006154EB"/>
    <w:rsid w:val="00616F11"/>
    <w:rsid w:val="0063587C"/>
    <w:rsid w:val="0064531B"/>
    <w:rsid w:val="00647582"/>
    <w:rsid w:val="00664581"/>
    <w:rsid w:val="00673F14"/>
    <w:rsid w:val="006745EE"/>
    <w:rsid w:val="006761C0"/>
    <w:rsid w:val="006774AB"/>
    <w:rsid w:val="006828D1"/>
    <w:rsid w:val="00685143"/>
    <w:rsid w:val="006924EA"/>
    <w:rsid w:val="00692E21"/>
    <w:rsid w:val="00693B69"/>
    <w:rsid w:val="006A1F13"/>
    <w:rsid w:val="006A23DC"/>
    <w:rsid w:val="006A523A"/>
    <w:rsid w:val="006C2511"/>
    <w:rsid w:val="006C544C"/>
    <w:rsid w:val="006C5D83"/>
    <w:rsid w:val="006F03C1"/>
    <w:rsid w:val="006F6166"/>
    <w:rsid w:val="00704049"/>
    <w:rsid w:val="007049EC"/>
    <w:rsid w:val="0070744F"/>
    <w:rsid w:val="00713D29"/>
    <w:rsid w:val="00714C2A"/>
    <w:rsid w:val="00715170"/>
    <w:rsid w:val="00721AE6"/>
    <w:rsid w:val="00724F30"/>
    <w:rsid w:val="00737342"/>
    <w:rsid w:val="00750E51"/>
    <w:rsid w:val="007743C6"/>
    <w:rsid w:val="00777D58"/>
    <w:rsid w:val="00784BE6"/>
    <w:rsid w:val="00797E76"/>
    <w:rsid w:val="007A1630"/>
    <w:rsid w:val="007D20DC"/>
    <w:rsid w:val="007E719B"/>
    <w:rsid w:val="007F19EC"/>
    <w:rsid w:val="007F37A5"/>
    <w:rsid w:val="007F4C69"/>
    <w:rsid w:val="007F6F08"/>
    <w:rsid w:val="0081049E"/>
    <w:rsid w:val="00817815"/>
    <w:rsid w:val="00832DFC"/>
    <w:rsid w:val="008357D0"/>
    <w:rsid w:val="00836343"/>
    <w:rsid w:val="008438F9"/>
    <w:rsid w:val="00843B04"/>
    <w:rsid w:val="00843E75"/>
    <w:rsid w:val="00845EA4"/>
    <w:rsid w:val="00846BF6"/>
    <w:rsid w:val="00852E93"/>
    <w:rsid w:val="0087313B"/>
    <w:rsid w:val="008764DC"/>
    <w:rsid w:val="008826F9"/>
    <w:rsid w:val="00882F9B"/>
    <w:rsid w:val="00891540"/>
    <w:rsid w:val="008A0A34"/>
    <w:rsid w:val="008B2EAB"/>
    <w:rsid w:val="008C1FB3"/>
    <w:rsid w:val="008C2DBD"/>
    <w:rsid w:val="008D42B5"/>
    <w:rsid w:val="008E1170"/>
    <w:rsid w:val="008E1FB7"/>
    <w:rsid w:val="008F4CD5"/>
    <w:rsid w:val="008F7E7A"/>
    <w:rsid w:val="00904765"/>
    <w:rsid w:val="00911282"/>
    <w:rsid w:val="00923CF8"/>
    <w:rsid w:val="00924418"/>
    <w:rsid w:val="00927209"/>
    <w:rsid w:val="009412F6"/>
    <w:rsid w:val="009523DD"/>
    <w:rsid w:val="009670AB"/>
    <w:rsid w:val="0097208D"/>
    <w:rsid w:val="009842D4"/>
    <w:rsid w:val="00985386"/>
    <w:rsid w:val="0098623B"/>
    <w:rsid w:val="00990F95"/>
    <w:rsid w:val="00993AB2"/>
    <w:rsid w:val="009B2EF5"/>
    <w:rsid w:val="009B37D3"/>
    <w:rsid w:val="009C338C"/>
    <w:rsid w:val="009C4CF3"/>
    <w:rsid w:val="009C5129"/>
    <w:rsid w:val="009C5B9B"/>
    <w:rsid w:val="009D1E68"/>
    <w:rsid w:val="009D2E72"/>
    <w:rsid w:val="009D3F61"/>
    <w:rsid w:val="009E179B"/>
    <w:rsid w:val="009F2272"/>
    <w:rsid w:val="009F5439"/>
    <w:rsid w:val="009F6194"/>
    <w:rsid w:val="00A03F17"/>
    <w:rsid w:val="00A214E9"/>
    <w:rsid w:val="00A3783E"/>
    <w:rsid w:val="00A40DD7"/>
    <w:rsid w:val="00A41688"/>
    <w:rsid w:val="00A42174"/>
    <w:rsid w:val="00A529DF"/>
    <w:rsid w:val="00A533CE"/>
    <w:rsid w:val="00A57AFA"/>
    <w:rsid w:val="00A62D56"/>
    <w:rsid w:val="00A664A6"/>
    <w:rsid w:val="00A70635"/>
    <w:rsid w:val="00A8234D"/>
    <w:rsid w:val="00A86BBB"/>
    <w:rsid w:val="00AA21EA"/>
    <w:rsid w:val="00AB0DF6"/>
    <w:rsid w:val="00AB5656"/>
    <w:rsid w:val="00AB784E"/>
    <w:rsid w:val="00AC4698"/>
    <w:rsid w:val="00AC63D3"/>
    <w:rsid w:val="00AD03C6"/>
    <w:rsid w:val="00AE2A9D"/>
    <w:rsid w:val="00AE37B3"/>
    <w:rsid w:val="00AF0EE7"/>
    <w:rsid w:val="00AF5C4B"/>
    <w:rsid w:val="00B02469"/>
    <w:rsid w:val="00B10D30"/>
    <w:rsid w:val="00B12810"/>
    <w:rsid w:val="00B15381"/>
    <w:rsid w:val="00B16FB4"/>
    <w:rsid w:val="00B21D8A"/>
    <w:rsid w:val="00B22161"/>
    <w:rsid w:val="00B33C7D"/>
    <w:rsid w:val="00B45C87"/>
    <w:rsid w:val="00B6268C"/>
    <w:rsid w:val="00B63CE6"/>
    <w:rsid w:val="00B647D0"/>
    <w:rsid w:val="00B657F8"/>
    <w:rsid w:val="00B67C81"/>
    <w:rsid w:val="00BA379F"/>
    <w:rsid w:val="00BA5A90"/>
    <w:rsid w:val="00BB42C2"/>
    <w:rsid w:val="00BC1933"/>
    <w:rsid w:val="00BC5A0F"/>
    <w:rsid w:val="00BD05AA"/>
    <w:rsid w:val="00BD4B70"/>
    <w:rsid w:val="00BE416C"/>
    <w:rsid w:val="00BE7912"/>
    <w:rsid w:val="00BF7CB3"/>
    <w:rsid w:val="00C007B3"/>
    <w:rsid w:val="00C0501F"/>
    <w:rsid w:val="00C06DBC"/>
    <w:rsid w:val="00C07B31"/>
    <w:rsid w:val="00C1141E"/>
    <w:rsid w:val="00C165B2"/>
    <w:rsid w:val="00C2123A"/>
    <w:rsid w:val="00C21C2C"/>
    <w:rsid w:val="00C240D2"/>
    <w:rsid w:val="00C325FE"/>
    <w:rsid w:val="00C41654"/>
    <w:rsid w:val="00C47025"/>
    <w:rsid w:val="00C51E2B"/>
    <w:rsid w:val="00C737BD"/>
    <w:rsid w:val="00C76EBD"/>
    <w:rsid w:val="00C81A97"/>
    <w:rsid w:val="00C82464"/>
    <w:rsid w:val="00C8770B"/>
    <w:rsid w:val="00C9009F"/>
    <w:rsid w:val="00C91298"/>
    <w:rsid w:val="00C9710E"/>
    <w:rsid w:val="00CA01C7"/>
    <w:rsid w:val="00CA5B92"/>
    <w:rsid w:val="00CB5679"/>
    <w:rsid w:val="00CC38BF"/>
    <w:rsid w:val="00CC6ECE"/>
    <w:rsid w:val="00CD2EC2"/>
    <w:rsid w:val="00CD376E"/>
    <w:rsid w:val="00CD7451"/>
    <w:rsid w:val="00CF72D2"/>
    <w:rsid w:val="00D036DE"/>
    <w:rsid w:val="00D21043"/>
    <w:rsid w:val="00D306A1"/>
    <w:rsid w:val="00D31525"/>
    <w:rsid w:val="00D34376"/>
    <w:rsid w:val="00D365EC"/>
    <w:rsid w:val="00D40EB7"/>
    <w:rsid w:val="00D414AF"/>
    <w:rsid w:val="00D456FC"/>
    <w:rsid w:val="00D6494A"/>
    <w:rsid w:val="00D66CFB"/>
    <w:rsid w:val="00D729E0"/>
    <w:rsid w:val="00D74B76"/>
    <w:rsid w:val="00D811AB"/>
    <w:rsid w:val="00D8180F"/>
    <w:rsid w:val="00D84975"/>
    <w:rsid w:val="00D84DFA"/>
    <w:rsid w:val="00D85B8B"/>
    <w:rsid w:val="00D90078"/>
    <w:rsid w:val="00D925A3"/>
    <w:rsid w:val="00DA1E50"/>
    <w:rsid w:val="00DA35B7"/>
    <w:rsid w:val="00DA3B7A"/>
    <w:rsid w:val="00DA5354"/>
    <w:rsid w:val="00DB0C30"/>
    <w:rsid w:val="00DB11F5"/>
    <w:rsid w:val="00DB4A50"/>
    <w:rsid w:val="00DB568A"/>
    <w:rsid w:val="00DC73AA"/>
    <w:rsid w:val="00DD1EB7"/>
    <w:rsid w:val="00DD31E0"/>
    <w:rsid w:val="00DD32BF"/>
    <w:rsid w:val="00DD6705"/>
    <w:rsid w:val="00DE2DA1"/>
    <w:rsid w:val="00DF7402"/>
    <w:rsid w:val="00E15689"/>
    <w:rsid w:val="00E32630"/>
    <w:rsid w:val="00E36D1F"/>
    <w:rsid w:val="00E43B76"/>
    <w:rsid w:val="00E447CE"/>
    <w:rsid w:val="00E452E8"/>
    <w:rsid w:val="00E5320A"/>
    <w:rsid w:val="00E53467"/>
    <w:rsid w:val="00E577A2"/>
    <w:rsid w:val="00E75DEE"/>
    <w:rsid w:val="00E86215"/>
    <w:rsid w:val="00E86264"/>
    <w:rsid w:val="00E95781"/>
    <w:rsid w:val="00E96A78"/>
    <w:rsid w:val="00EA174F"/>
    <w:rsid w:val="00EA1C93"/>
    <w:rsid w:val="00EA2926"/>
    <w:rsid w:val="00EA6DB0"/>
    <w:rsid w:val="00EB42F4"/>
    <w:rsid w:val="00EC0E35"/>
    <w:rsid w:val="00ED1D90"/>
    <w:rsid w:val="00EF6AD5"/>
    <w:rsid w:val="00F12072"/>
    <w:rsid w:val="00F2070F"/>
    <w:rsid w:val="00F224B6"/>
    <w:rsid w:val="00F31EA5"/>
    <w:rsid w:val="00F42267"/>
    <w:rsid w:val="00F5280C"/>
    <w:rsid w:val="00F5704C"/>
    <w:rsid w:val="00F63358"/>
    <w:rsid w:val="00F83B1B"/>
    <w:rsid w:val="00F854E5"/>
    <w:rsid w:val="00F865B2"/>
    <w:rsid w:val="00FA1B73"/>
    <w:rsid w:val="00FB08AC"/>
    <w:rsid w:val="00FB2441"/>
    <w:rsid w:val="00FC7551"/>
    <w:rsid w:val="00FE563D"/>
    <w:rsid w:val="00FF4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06A5512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376E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sid w:val="00CD376E"/>
    <w:rPr>
      <w:position w:val="0"/>
      <w:vertAlign w:val="superscript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tabs>
        <w:tab w:val="right" w:leader="dot" w:pos="9360"/>
      </w:tabs>
      <w:suppressAutoHyphens/>
      <w:spacing w:after="0"/>
      <w:jc w:val="left"/>
      <w:outlineLvl w:val="9"/>
    </w:pPr>
    <w:rPr>
      <w:b w:val="0"/>
      <w:sz w:val="24"/>
    </w:rPr>
  </w:style>
  <w:style w:type="paragraph" w:styleId="TOC2">
    <w:name w:val="toc 2"/>
    <w:basedOn w:val="TOC1"/>
    <w:next w:val="Normal"/>
    <w:semiHidden/>
    <w:pPr>
      <w:ind w:left="1440"/>
    </w:pPr>
  </w:style>
  <w:style w:type="paragraph" w:styleId="TOC3">
    <w:name w:val="toc 3"/>
    <w:basedOn w:val="TOC2"/>
    <w:next w:val="Normal"/>
    <w:semiHidden/>
    <w:pPr>
      <w:ind w:left="2160"/>
    </w:pPr>
  </w:style>
  <w:style w:type="paragraph" w:styleId="TOC4">
    <w:name w:val="toc 4"/>
    <w:basedOn w:val="TOC3"/>
    <w:next w:val="Normal"/>
    <w:semiHidden/>
    <w:pPr>
      <w:ind w:left="2880"/>
    </w:pPr>
  </w:style>
  <w:style w:type="paragraph" w:styleId="TOC5">
    <w:name w:val="toc 5"/>
    <w:basedOn w:val="TOC4"/>
    <w:next w:val="Normal"/>
    <w:semiHidden/>
    <w:pPr>
      <w:ind w:left="3600"/>
    </w:pPr>
  </w:style>
  <w:style w:type="paragraph" w:styleId="TOC6">
    <w:name w:val="toc 6"/>
    <w:basedOn w:val="TOC5"/>
    <w:next w:val="Normal"/>
    <w:semiHidden/>
    <w:pPr>
      <w:ind w:left="4320"/>
    </w:pPr>
  </w:style>
  <w:style w:type="paragraph" w:styleId="TOC7">
    <w:name w:val="toc 7"/>
    <w:basedOn w:val="TOC6"/>
    <w:next w:val="Normal"/>
    <w:semiHidden/>
    <w:pPr>
      <w:ind w:left="5040"/>
    </w:pPr>
  </w:style>
  <w:style w:type="paragraph" w:styleId="TOC8">
    <w:name w:val="toc 8"/>
    <w:basedOn w:val="TOC7"/>
    <w:next w:val="Normal"/>
    <w:semiHidden/>
    <w:pPr>
      <w:ind w:left="5760"/>
    </w:pPr>
  </w:style>
  <w:style w:type="paragraph" w:styleId="TOC9">
    <w:name w:val="toc 9"/>
    <w:basedOn w:val="TOC8"/>
    <w:next w:val="Normal"/>
    <w:semiHidden/>
    <w:pPr>
      <w:ind w:left="64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paragraph" w:styleId="BodyText">
    <w:name w:val="Body Text"/>
    <w:basedOn w:val="Normal"/>
    <w:pPr>
      <w:jc w:val="center"/>
    </w:pPr>
  </w:style>
  <w:style w:type="paragraph" w:styleId="BodyText2">
    <w:name w:val="Body Text 2"/>
    <w:basedOn w:val="Normal"/>
  </w:style>
  <w:style w:type="paragraph" w:styleId="Title">
    <w:name w:val="Title"/>
    <w:basedOn w:val="Normal"/>
    <w:link w:val="TitleChar"/>
    <w:qFormat/>
    <w:pPr>
      <w:jc w:val="center"/>
    </w:pPr>
    <w:rPr>
      <w:b/>
    </w:rPr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ind w:left="720" w:hanging="720"/>
      <w:jc w:val="left"/>
    </w:pPr>
    <w:rPr>
      <w:rFonts w:ascii="Arial" w:hAnsi="Arial"/>
    </w:rPr>
  </w:style>
  <w:style w:type="paragraph" w:styleId="BalloonText">
    <w:name w:val="Balloon Text"/>
    <w:basedOn w:val="Normal"/>
    <w:semiHidden/>
    <w:rsid w:val="009F543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D3F6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D4BA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</w:rPr>
  </w:style>
  <w:style w:type="character" w:customStyle="1" w:styleId="Heading5Char">
    <w:name w:val="Heading 5 Char"/>
    <w:link w:val="Heading5"/>
    <w:rsid w:val="00E95781"/>
    <w:rPr>
      <w:b/>
      <w:sz w:val="28"/>
    </w:rPr>
  </w:style>
  <w:style w:type="character" w:customStyle="1" w:styleId="NormaldoubleChar">
    <w:name w:val="Normal double Char"/>
    <w:link w:val="Normaldouble"/>
    <w:locked/>
    <w:rsid w:val="002533E7"/>
    <w:rPr>
      <w:sz w:val="24"/>
    </w:rPr>
  </w:style>
  <w:style w:type="character" w:customStyle="1" w:styleId="DocketnumberChar">
    <w:name w:val="Docket number Char"/>
    <w:link w:val="Docketnumber"/>
    <w:rsid w:val="00685143"/>
    <w:rPr>
      <w:b/>
      <w:caps/>
      <w:sz w:val="28"/>
    </w:rPr>
  </w:style>
  <w:style w:type="character" w:customStyle="1" w:styleId="BOLDITALICCHARACTERS">
    <w:name w:val="BOLD ITALIC CHARACTERS"/>
    <w:rsid w:val="004B326D"/>
    <w:rPr>
      <w:rFonts w:ascii="Letter Gothic" w:hAnsi="Letter Gothic"/>
      <w:b/>
      <w:i/>
      <w:sz w:val="20"/>
    </w:rPr>
  </w:style>
  <w:style w:type="character" w:customStyle="1" w:styleId="TitleChar">
    <w:name w:val="Title Char"/>
    <w:link w:val="Title"/>
    <w:rsid w:val="002A6B75"/>
    <w:rPr>
      <w:b/>
      <w:sz w:val="24"/>
    </w:rPr>
  </w:style>
  <w:style w:type="paragraph" w:customStyle="1" w:styleId="Default">
    <w:name w:val="Default"/>
    <w:rsid w:val="00FF435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3A72E4"/>
    <w:rPr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647582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3C1FBA"/>
    <w:rPr>
      <w:sz w:val="16"/>
      <w:szCs w:val="16"/>
    </w:rPr>
  </w:style>
  <w:style w:type="paragraph" w:styleId="CommentText">
    <w:name w:val="annotation text"/>
    <w:basedOn w:val="Normal"/>
    <w:link w:val="CommentTextChar"/>
    <w:rsid w:val="003C1FB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C1F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1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1226</Words>
  <Characters>6440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2022-08-31T20:02:00Z</dcterms:created>
  <dcterms:modified xsi:type="dcterms:W3CDTF">2022-09-29T17:55:00Z</dcterms:modified>
</cp:coreProperties>
</file>